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等线" w:hAnsi="等线" w:eastAsia="等线" w:cs="等线"/>
          <w:sz w:val="44"/>
          <w:szCs w:val="44"/>
          <w:lang w:val="en-US" w:eastAsia="zh-CN"/>
        </w:rPr>
      </w:pPr>
      <w:r>
        <w:rPr>
          <w:rFonts w:hint="eastAsia" w:ascii="等线" w:hAnsi="等线" w:eastAsia="等线" w:cs="等线"/>
          <w:sz w:val="44"/>
          <w:szCs w:val="44"/>
          <w:lang w:val="en-US" w:eastAsia="zh-CN"/>
        </w:rPr>
        <w:t>附件1</w:t>
      </w:r>
    </w:p>
    <w:p>
      <w:pPr>
        <w:pStyle w:val="2"/>
        <w:rPr>
          <w:rFonts w:hint="eastAsia" w:ascii="等线" w:hAnsi="等线" w:eastAsia="等线" w:cs="等线"/>
          <w:sz w:val="44"/>
          <w:szCs w:val="44"/>
          <w:lang w:val="en-US" w:eastAsia="zh-CN"/>
        </w:rPr>
      </w:pPr>
    </w:p>
    <w:p>
      <w:pPr>
        <w:pStyle w:val="2"/>
        <w:rPr>
          <w:rFonts w:hint="default" w:ascii="等线" w:hAnsi="等线" w:eastAsia="等线" w:cs="等线"/>
          <w:sz w:val="44"/>
          <w:szCs w:val="44"/>
          <w:lang w:val="en-US" w:eastAsia="zh-CN"/>
        </w:rPr>
      </w:pPr>
    </w:p>
    <w:p>
      <w:pPr>
        <w:pStyle w:val="7"/>
        <w:spacing w:before="309" w:line="600" w:lineRule="auto"/>
        <w:jc w:val="center"/>
        <w:rPr>
          <w:b/>
          <w:bCs/>
          <w:spacing w:val="-35"/>
          <w:sz w:val="60"/>
          <w:szCs w:val="60"/>
          <w:lang w:eastAsia="zh-CN"/>
        </w:rPr>
      </w:pPr>
      <w:r>
        <w:rPr>
          <w:b/>
          <w:bCs/>
          <w:spacing w:val="-35"/>
          <w:sz w:val="60"/>
          <w:szCs w:val="60"/>
          <w:lang w:eastAsia="zh-CN"/>
        </w:rPr>
        <w:t>福建福海创石油化工有限公司</w:t>
      </w:r>
    </w:p>
    <w:p>
      <w:pPr>
        <w:pStyle w:val="7"/>
        <w:spacing w:before="309" w:line="600" w:lineRule="auto"/>
        <w:jc w:val="center"/>
        <w:rPr>
          <w:b/>
          <w:bCs/>
          <w:spacing w:val="-35"/>
          <w:sz w:val="60"/>
          <w:szCs w:val="60"/>
          <w:lang w:eastAsia="zh-CN"/>
        </w:rPr>
      </w:pPr>
      <w:r>
        <w:rPr>
          <w:rFonts w:hint="eastAsia"/>
          <w:b/>
          <w:bCs/>
          <w:spacing w:val="-35"/>
          <w:sz w:val="60"/>
          <w:szCs w:val="60"/>
          <w:lang w:eastAsia="zh-CN"/>
        </w:rPr>
        <w:t>改扩建项目第三方安全技术服务</w:t>
      </w:r>
    </w:p>
    <w:p>
      <w:pPr>
        <w:pStyle w:val="7"/>
        <w:spacing w:before="309" w:line="600" w:lineRule="auto"/>
        <w:jc w:val="center"/>
        <w:rPr>
          <w:b/>
          <w:bCs/>
          <w:spacing w:val="-35"/>
          <w:sz w:val="60"/>
          <w:szCs w:val="60"/>
          <w:lang w:eastAsia="zh-CN"/>
        </w:rPr>
      </w:pPr>
    </w:p>
    <w:p>
      <w:pPr>
        <w:pStyle w:val="7"/>
        <w:spacing w:before="309" w:line="600" w:lineRule="auto"/>
        <w:jc w:val="center"/>
        <w:rPr>
          <w:b/>
          <w:bCs/>
          <w:spacing w:val="-35"/>
          <w:sz w:val="60"/>
          <w:szCs w:val="60"/>
          <w:lang w:eastAsia="zh-CN"/>
        </w:rPr>
      </w:pPr>
    </w:p>
    <w:p>
      <w:pPr>
        <w:pStyle w:val="7"/>
        <w:spacing w:before="309" w:line="600" w:lineRule="auto"/>
        <w:jc w:val="center"/>
        <w:rPr>
          <w:b/>
          <w:bCs/>
          <w:spacing w:val="-35"/>
          <w:sz w:val="60"/>
          <w:szCs w:val="60"/>
          <w:lang w:eastAsia="zh-CN"/>
        </w:rPr>
      </w:pPr>
      <w:r>
        <w:rPr>
          <w:b/>
          <w:bCs/>
          <w:spacing w:val="-35"/>
          <w:sz w:val="60"/>
          <w:szCs w:val="60"/>
          <w:lang w:eastAsia="zh-CN"/>
        </w:rPr>
        <w:t>发包说明</w:t>
      </w:r>
    </w:p>
    <w:p>
      <w:pPr>
        <w:pStyle w:val="7"/>
        <w:spacing w:before="309" w:line="600" w:lineRule="auto"/>
        <w:jc w:val="center"/>
        <w:rPr>
          <w:b/>
          <w:bCs/>
          <w:spacing w:val="-35"/>
          <w:sz w:val="60"/>
          <w:szCs w:val="60"/>
          <w:lang w:eastAsia="zh-CN"/>
        </w:rPr>
      </w:pPr>
    </w:p>
    <w:p>
      <w:pPr>
        <w:pStyle w:val="7"/>
        <w:spacing w:before="309" w:line="600" w:lineRule="auto"/>
        <w:jc w:val="center"/>
        <w:rPr>
          <w:b/>
          <w:bCs/>
          <w:spacing w:val="-35"/>
          <w:sz w:val="60"/>
          <w:szCs w:val="60"/>
          <w:lang w:eastAsia="zh-CN"/>
        </w:rPr>
      </w:pPr>
    </w:p>
    <w:p>
      <w:pPr>
        <w:pStyle w:val="7"/>
        <w:spacing w:before="309" w:line="600" w:lineRule="auto"/>
        <w:jc w:val="center"/>
        <w:rPr>
          <w:b/>
          <w:bCs/>
          <w:spacing w:val="-35"/>
          <w:sz w:val="60"/>
          <w:szCs w:val="60"/>
          <w:lang w:eastAsia="zh-CN"/>
        </w:rPr>
      </w:pPr>
    </w:p>
    <w:p>
      <w:pPr>
        <w:pStyle w:val="7"/>
        <w:spacing w:before="309" w:line="600" w:lineRule="auto"/>
        <w:jc w:val="center"/>
        <w:rPr>
          <w:b/>
          <w:bCs/>
          <w:spacing w:val="-35"/>
          <w:sz w:val="60"/>
          <w:szCs w:val="60"/>
          <w:lang w:eastAsia="zh-CN"/>
        </w:rPr>
      </w:pPr>
    </w:p>
    <w:p>
      <w:pPr>
        <w:jc w:val="center"/>
        <w:rPr>
          <w:rFonts w:ascii="楷体" w:hAnsi="楷体" w:eastAsia="楷体" w:cs="楷体"/>
          <w:b/>
          <w:bCs/>
          <w:spacing w:val="-5"/>
          <w:sz w:val="31"/>
          <w:szCs w:val="31"/>
        </w:rPr>
      </w:pPr>
      <w:r>
        <w:rPr>
          <w:rFonts w:ascii="楷体" w:hAnsi="楷体" w:eastAsia="楷体" w:cs="楷体"/>
          <w:b/>
          <w:bCs/>
          <w:spacing w:val="-5"/>
          <w:sz w:val="31"/>
          <w:szCs w:val="31"/>
        </w:rPr>
        <w:t xml:space="preserve">甲方： </w:t>
      </w:r>
      <w:r>
        <w:rPr>
          <w:rFonts w:hint="eastAsia" w:ascii="楷体" w:hAnsi="楷体" w:eastAsia="楷体" w:cs="楷体"/>
          <w:b/>
          <w:bCs/>
          <w:spacing w:val="-5"/>
          <w:sz w:val="31"/>
          <w:szCs w:val="31"/>
        </w:rPr>
        <w:t>福建福海创石油化工有限公司</w:t>
      </w:r>
    </w:p>
    <w:p>
      <w:pPr>
        <w:rPr>
          <w:rFonts w:ascii="楷体" w:hAnsi="楷体" w:eastAsia="楷体" w:cs="楷体"/>
          <w:b/>
          <w:bCs/>
          <w:spacing w:val="-5"/>
          <w:sz w:val="31"/>
          <w:szCs w:val="31"/>
        </w:rPr>
      </w:pPr>
      <w:r>
        <w:rPr>
          <w:rFonts w:ascii="楷体" w:hAnsi="楷体" w:eastAsia="楷体" w:cs="楷体"/>
          <w:b/>
          <w:bCs/>
          <w:spacing w:val="-5"/>
          <w:sz w:val="31"/>
          <w:szCs w:val="31"/>
        </w:rPr>
        <w:br w:type="page"/>
      </w:r>
    </w:p>
    <w:p>
      <w:pPr>
        <w:pStyle w:val="3"/>
        <w:numPr>
          <w:ilvl w:val="0"/>
          <w:numId w:val="1"/>
        </w:numPr>
        <w:spacing w:before="0" w:after="0" w:line="440" w:lineRule="exact"/>
        <w:rPr>
          <w:rFonts w:ascii="等线" w:hAnsi="等线" w:eastAsia="等线" w:cs="等线"/>
          <w:sz w:val="28"/>
          <w:szCs w:val="28"/>
        </w:rPr>
      </w:pPr>
      <w:bookmarkStart w:id="0" w:name="_Toc11584"/>
      <w:r>
        <w:rPr>
          <w:rFonts w:hint="eastAsia" w:ascii="等线" w:hAnsi="等线" w:eastAsia="等线" w:cs="等线"/>
          <w:sz w:val="28"/>
          <w:szCs w:val="28"/>
        </w:rPr>
        <w:t>工程说明</w:t>
      </w:r>
      <w:bookmarkEnd w:id="0"/>
    </w:p>
    <w:p>
      <w:pPr>
        <w:numPr>
          <w:ilvl w:val="1"/>
          <w:numId w:val="1"/>
        </w:numPr>
        <w:spacing w:line="440" w:lineRule="exact"/>
        <w:rPr>
          <w:rFonts w:ascii="等线" w:hAnsi="等线" w:eastAsia="等线" w:cs="等线"/>
          <w:sz w:val="28"/>
          <w:szCs w:val="28"/>
        </w:rPr>
      </w:pPr>
      <w:r>
        <w:rPr>
          <w:rFonts w:hint="eastAsia" w:ascii="等线" w:hAnsi="等线" w:eastAsia="等线" w:cs="等线"/>
          <w:sz w:val="28"/>
          <w:szCs w:val="28"/>
        </w:rPr>
        <w:t>建设单位：福建福海创石油化工有限公司</w:t>
      </w:r>
    </w:p>
    <w:p>
      <w:pPr>
        <w:numPr>
          <w:ilvl w:val="1"/>
          <w:numId w:val="1"/>
        </w:numPr>
        <w:spacing w:line="440" w:lineRule="exact"/>
        <w:rPr>
          <w:rFonts w:ascii="等线" w:hAnsi="等线" w:eastAsia="等线" w:cs="等线"/>
          <w:sz w:val="28"/>
          <w:szCs w:val="28"/>
        </w:rPr>
      </w:pPr>
      <w:r>
        <w:rPr>
          <w:rFonts w:hint="eastAsia" w:ascii="等线" w:hAnsi="等线" w:eastAsia="等线" w:cs="等线"/>
          <w:sz w:val="28"/>
          <w:szCs w:val="28"/>
        </w:rPr>
        <w:t>项目名称：福海创改扩建项目安全技术服务</w:t>
      </w:r>
    </w:p>
    <w:p>
      <w:pPr>
        <w:numPr>
          <w:ilvl w:val="1"/>
          <w:numId w:val="1"/>
        </w:numPr>
        <w:spacing w:line="440" w:lineRule="exact"/>
        <w:rPr>
          <w:rFonts w:ascii="等线" w:hAnsi="等线" w:eastAsia="等线" w:cs="等线"/>
          <w:sz w:val="28"/>
          <w:szCs w:val="28"/>
        </w:rPr>
      </w:pPr>
      <w:r>
        <w:rPr>
          <w:rFonts w:hint="eastAsia" w:ascii="等线" w:hAnsi="等线" w:eastAsia="等线" w:cs="等线"/>
          <w:sz w:val="28"/>
          <w:szCs w:val="28"/>
        </w:rPr>
        <w:t>项目地点：福建漳州古雷经济开发区古雷石化基地福海创厂区内</w:t>
      </w:r>
    </w:p>
    <w:p>
      <w:pPr>
        <w:numPr>
          <w:ilvl w:val="1"/>
          <w:numId w:val="1"/>
        </w:numPr>
        <w:spacing w:line="440" w:lineRule="exact"/>
        <w:rPr>
          <w:rFonts w:ascii="等线" w:hAnsi="等线" w:eastAsia="等线" w:cs="等线"/>
          <w:sz w:val="28"/>
          <w:szCs w:val="28"/>
        </w:rPr>
      </w:pPr>
      <w:r>
        <w:rPr>
          <w:rFonts w:hint="eastAsia" w:ascii="等线" w:hAnsi="等线" w:eastAsia="等线" w:cs="等线"/>
          <w:sz w:val="28"/>
          <w:szCs w:val="28"/>
        </w:rPr>
        <w:t>建设规模：福海创改扩建相关项目，包含原料适应性技改项目、芳烃节能改造项目、集中空分空压项目等。</w:t>
      </w:r>
    </w:p>
    <w:p>
      <w:pPr>
        <w:pStyle w:val="3"/>
        <w:numPr>
          <w:ilvl w:val="0"/>
          <w:numId w:val="1"/>
        </w:numPr>
        <w:spacing w:before="156" w:beforeLines="50" w:after="0" w:line="440" w:lineRule="exact"/>
        <w:rPr>
          <w:rFonts w:ascii="等线" w:hAnsi="等线" w:eastAsia="等线" w:cs="等线"/>
          <w:sz w:val="28"/>
          <w:szCs w:val="28"/>
        </w:rPr>
      </w:pPr>
      <w:bookmarkStart w:id="1" w:name="_Toc24220"/>
      <w:r>
        <w:rPr>
          <w:rFonts w:hint="eastAsia" w:ascii="等线" w:hAnsi="等线" w:eastAsia="等线" w:cs="等线"/>
          <w:sz w:val="28"/>
          <w:szCs w:val="28"/>
          <w:lang w:eastAsia="zh-CN"/>
        </w:rPr>
        <w:t>询比</w:t>
      </w:r>
      <w:r>
        <w:rPr>
          <w:rFonts w:hint="eastAsia" w:ascii="等线" w:hAnsi="等线" w:eastAsia="等线" w:cs="等线"/>
          <w:sz w:val="28"/>
          <w:szCs w:val="28"/>
        </w:rPr>
        <w:t>范围和说明</w:t>
      </w:r>
      <w:bookmarkEnd w:id="1"/>
    </w:p>
    <w:p>
      <w:pPr>
        <w:numPr>
          <w:ilvl w:val="1"/>
          <w:numId w:val="1"/>
        </w:numPr>
        <w:spacing w:line="440" w:lineRule="exact"/>
        <w:rPr>
          <w:rFonts w:ascii="等线" w:hAnsi="等线" w:eastAsia="等线" w:cs="等线"/>
          <w:sz w:val="28"/>
          <w:szCs w:val="28"/>
        </w:rPr>
      </w:pPr>
      <w:r>
        <w:rPr>
          <w:rFonts w:hint="eastAsia" w:ascii="等线" w:hAnsi="等线" w:eastAsia="等线" w:cs="等线"/>
          <w:sz w:val="28"/>
          <w:szCs w:val="28"/>
          <w:lang w:eastAsia="zh-CN"/>
        </w:rPr>
        <w:t>询比</w:t>
      </w:r>
      <w:r>
        <w:rPr>
          <w:rFonts w:hint="eastAsia" w:ascii="等线" w:hAnsi="等线" w:eastAsia="等线" w:cs="等线"/>
          <w:sz w:val="28"/>
          <w:szCs w:val="28"/>
        </w:rPr>
        <w:t>主要内容：本工程所需第三方安全技术服务主要内容是为工程建设提供专业技术人员，对现场施工安全开展定期检查，以及甲方临时委托的其他工作。乙方应遵守甲方《项目管理手册》中的项目相关制度和程序文件。</w:t>
      </w:r>
    </w:p>
    <w:p>
      <w:pPr>
        <w:numPr>
          <w:ilvl w:val="1"/>
          <w:numId w:val="1"/>
        </w:numPr>
        <w:spacing w:line="440" w:lineRule="exact"/>
        <w:rPr>
          <w:rFonts w:ascii="等线" w:hAnsi="等线" w:eastAsia="等线" w:cs="等线"/>
          <w:sz w:val="28"/>
          <w:szCs w:val="28"/>
        </w:rPr>
      </w:pPr>
      <w:r>
        <w:rPr>
          <w:rFonts w:hint="eastAsia" w:ascii="等线" w:hAnsi="等线" w:eastAsia="等线" w:cs="等线"/>
          <w:sz w:val="28"/>
          <w:szCs w:val="28"/>
        </w:rPr>
        <w:t>服务周期：</w:t>
      </w:r>
      <w:r>
        <w:rPr>
          <w:rFonts w:hint="eastAsia" w:ascii="等线" w:hAnsi="等线" w:eastAsia="等线" w:cs="等线"/>
          <w:color w:val="000000" w:themeColor="text1"/>
          <w:sz w:val="28"/>
          <w:szCs w:val="28"/>
          <w14:textFill>
            <w14:solidFill>
              <w14:schemeClr w14:val="tx1"/>
            </w14:solidFill>
          </w14:textFill>
        </w:rPr>
        <w:t>从合同生效之日起到工程竣工验收</w:t>
      </w:r>
      <w:r>
        <w:rPr>
          <w:rFonts w:hint="eastAsia" w:ascii="等线" w:hAnsi="等线" w:eastAsia="等线" w:cs="等线"/>
          <w:sz w:val="28"/>
          <w:szCs w:val="28"/>
        </w:rPr>
        <w:t>（工程竣工期初定于2026年8月底，实际根据项目建设进度友好协商）。</w:t>
      </w:r>
    </w:p>
    <w:p>
      <w:pPr>
        <w:numPr>
          <w:ilvl w:val="1"/>
          <w:numId w:val="1"/>
        </w:numPr>
        <w:spacing w:line="440" w:lineRule="exact"/>
        <w:rPr>
          <w:rFonts w:ascii="等线" w:hAnsi="等线" w:eastAsia="等线" w:cs="等线"/>
          <w:sz w:val="28"/>
          <w:szCs w:val="28"/>
        </w:rPr>
      </w:pPr>
      <w:r>
        <w:rPr>
          <w:rFonts w:hint="eastAsia" w:ascii="等线" w:hAnsi="等线" w:eastAsia="等线" w:cs="等线"/>
          <w:sz w:val="28"/>
          <w:szCs w:val="28"/>
        </w:rPr>
        <w:t>说明：本</w:t>
      </w:r>
      <w:r>
        <w:rPr>
          <w:rFonts w:hint="eastAsia" w:ascii="等线" w:hAnsi="等线" w:eastAsia="等线" w:cs="等线"/>
          <w:sz w:val="28"/>
          <w:szCs w:val="28"/>
          <w:lang w:eastAsia="zh-CN"/>
        </w:rPr>
        <w:t>询比</w:t>
      </w:r>
      <w:r>
        <w:rPr>
          <w:rFonts w:hint="eastAsia" w:ascii="等线" w:hAnsi="等线" w:eastAsia="等线" w:cs="等线"/>
          <w:sz w:val="28"/>
          <w:szCs w:val="28"/>
        </w:rPr>
        <w:t>技术文件中的“</w:t>
      </w:r>
      <w:r>
        <w:rPr>
          <w:rFonts w:hint="eastAsia" w:ascii="等线" w:hAnsi="等线" w:eastAsia="等线" w:cs="等线"/>
          <w:sz w:val="28"/>
          <w:szCs w:val="28"/>
          <w:lang w:eastAsia="zh-CN"/>
        </w:rPr>
        <w:t>询比人</w:t>
      </w:r>
      <w:r>
        <w:rPr>
          <w:rFonts w:hint="eastAsia" w:ascii="等线" w:hAnsi="等线" w:eastAsia="等线" w:cs="等线"/>
          <w:sz w:val="28"/>
          <w:szCs w:val="28"/>
        </w:rPr>
        <w:t>”统称“甲方”、“</w:t>
      </w:r>
      <w:r>
        <w:rPr>
          <w:rFonts w:hint="eastAsia" w:ascii="等线" w:hAnsi="等线" w:eastAsia="等线" w:cs="等线"/>
          <w:sz w:val="28"/>
          <w:szCs w:val="28"/>
          <w:lang w:eastAsia="zh-CN"/>
        </w:rPr>
        <w:t>参比人</w:t>
      </w:r>
      <w:r>
        <w:rPr>
          <w:rFonts w:hint="eastAsia" w:ascii="等线" w:hAnsi="等线" w:eastAsia="等线" w:cs="等线"/>
          <w:sz w:val="28"/>
          <w:szCs w:val="28"/>
        </w:rPr>
        <w:t>”或“</w:t>
      </w:r>
      <w:r>
        <w:rPr>
          <w:rFonts w:hint="eastAsia" w:ascii="等线" w:hAnsi="等线" w:eastAsia="等线" w:cs="等线"/>
          <w:sz w:val="28"/>
          <w:szCs w:val="28"/>
          <w:lang w:eastAsia="zh-CN"/>
        </w:rPr>
        <w:t>中选</w:t>
      </w:r>
      <w:r>
        <w:rPr>
          <w:rFonts w:hint="eastAsia" w:ascii="等线" w:hAnsi="等线" w:eastAsia="等线" w:cs="等线"/>
          <w:sz w:val="28"/>
          <w:szCs w:val="28"/>
        </w:rPr>
        <w:t>单位”统称为“乙方”。</w:t>
      </w:r>
    </w:p>
    <w:p>
      <w:pPr>
        <w:pStyle w:val="3"/>
        <w:numPr>
          <w:ilvl w:val="0"/>
          <w:numId w:val="1"/>
        </w:numPr>
        <w:spacing w:before="156" w:beforeLines="50" w:after="0" w:line="440" w:lineRule="exact"/>
        <w:rPr>
          <w:rFonts w:ascii="等线" w:hAnsi="等线" w:eastAsia="等线" w:cs="等线"/>
          <w:sz w:val="28"/>
          <w:szCs w:val="28"/>
        </w:rPr>
      </w:pPr>
      <w:bookmarkStart w:id="2" w:name="_Toc3601"/>
      <w:r>
        <w:rPr>
          <w:rFonts w:hint="eastAsia" w:ascii="等线" w:hAnsi="等线" w:eastAsia="等线" w:cs="等线"/>
          <w:sz w:val="28"/>
          <w:szCs w:val="28"/>
        </w:rPr>
        <w:t>乙方资质要求</w:t>
      </w:r>
      <w:bookmarkEnd w:id="2"/>
    </w:p>
    <w:p>
      <w:pPr>
        <w:numPr>
          <w:ilvl w:val="1"/>
          <w:numId w:val="1"/>
        </w:numPr>
        <w:spacing w:line="440" w:lineRule="exact"/>
        <w:rPr>
          <w:rFonts w:ascii="等线" w:hAnsi="等线" w:eastAsia="等线" w:cs="等线"/>
          <w:color w:val="FF0000"/>
          <w:sz w:val="28"/>
          <w:szCs w:val="28"/>
        </w:rPr>
      </w:pPr>
      <w:r>
        <w:rPr>
          <w:rFonts w:hint="eastAsia" w:ascii="等线" w:hAnsi="等线" w:eastAsia="等线" w:cs="等线"/>
          <w:sz w:val="28"/>
          <w:szCs w:val="28"/>
        </w:rPr>
        <w:t>乙方须为持有合法营业执照的独立法人。</w:t>
      </w:r>
    </w:p>
    <w:p>
      <w:pPr>
        <w:numPr>
          <w:ilvl w:val="1"/>
          <w:numId w:val="1"/>
        </w:numPr>
        <w:spacing w:line="440" w:lineRule="exact"/>
      </w:pPr>
      <w:r>
        <w:rPr>
          <w:rFonts w:hint="eastAsia" w:ascii="等线" w:hAnsi="等线" w:eastAsia="等线" w:cs="等线"/>
          <w:sz w:val="28"/>
          <w:szCs w:val="28"/>
        </w:rPr>
        <w:t>2021年1月1日以来应具有连续在1个及以上大中型石油化工建设项目（投资总额10亿元以上）或单项合同金额超200万以上的石油化工类的第三方安全技术服务。须提供业绩合，业绩合同应至少涵盖合同首页、合同签署页、合同金额。</w:t>
      </w:r>
    </w:p>
    <w:p>
      <w:pPr>
        <w:numPr>
          <w:ilvl w:val="1"/>
          <w:numId w:val="1"/>
        </w:numPr>
        <w:spacing w:line="440" w:lineRule="exact"/>
        <w:rPr>
          <w:rFonts w:ascii="等线" w:hAnsi="等线" w:eastAsia="等线" w:cs="等线"/>
          <w:sz w:val="28"/>
          <w:szCs w:val="28"/>
        </w:rPr>
      </w:pPr>
      <w:r>
        <w:rPr>
          <w:rFonts w:hint="eastAsia" w:ascii="等线" w:hAnsi="等线" w:eastAsia="等线" w:cs="等线"/>
          <w:sz w:val="28"/>
          <w:szCs w:val="28"/>
        </w:rPr>
        <w:t>本项目不接受联合体</w:t>
      </w:r>
      <w:r>
        <w:rPr>
          <w:rFonts w:hint="eastAsia" w:ascii="等线" w:hAnsi="等线" w:eastAsia="等线" w:cs="等线"/>
          <w:sz w:val="28"/>
          <w:szCs w:val="28"/>
          <w:lang w:eastAsia="zh-CN"/>
        </w:rPr>
        <w:t>参选</w:t>
      </w:r>
      <w:r>
        <w:rPr>
          <w:rFonts w:hint="eastAsia" w:ascii="等线" w:hAnsi="等线" w:eastAsia="等线" w:cs="等线"/>
          <w:sz w:val="28"/>
          <w:szCs w:val="28"/>
        </w:rPr>
        <w:t>。</w:t>
      </w:r>
    </w:p>
    <w:p>
      <w:pPr>
        <w:pStyle w:val="3"/>
        <w:numPr>
          <w:ilvl w:val="0"/>
          <w:numId w:val="1"/>
        </w:numPr>
        <w:spacing w:before="156" w:beforeLines="50" w:after="0" w:line="440" w:lineRule="exact"/>
        <w:rPr>
          <w:rFonts w:ascii="等线" w:hAnsi="等线" w:eastAsia="等线" w:cs="等线"/>
          <w:sz w:val="28"/>
          <w:szCs w:val="28"/>
        </w:rPr>
      </w:pPr>
      <w:bookmarkStart w:id="3" w:name="_Toc26500"/>
      <w:r>
        <w:rPr>
          <w:rFonts w:hint="eastAsia" w:ascii="等线" w:hAnsi="等线" w:eastAsia="等线" w:cs="等线"/>
          <w:sz w:val="28"/>
          <w:szCs w:val="28"/>
        </w:rPr>
        <w:t>项目服务要求</w:t>
      </w:r>
      <w:bookmarkEnd w:id="3"/>
    </w:p>
    <w:p>
      <w:pPr>
        <w:numPr>
          <w:ilvl w:val="1"/>
          <w:numId w:val="1"/>
        </w:numPr>
        <w:spacing w:line="440" w:lineRule="exact"/>
        <w:rPr>
          <w:rFonts w:ascii="等线" w:hAnsi="等线" w:eastAsia="等线" w:cs="等线"/>
          <w:sz w:val="28"/>
          <w:szCs w:val="28"/>
        </w:rPr>
      </w:pPr>
      <w:r>
        <w:rPr>
          <w:rFonts w:hint="eastAsia" w:ascii="等线" w:hAnsi="等线" w:eastAsia="等线" w:cs="等线"/>
          <w:sz w:val="28"/>
          <w:szCs w:val="28"/>
        </w:rPr>
        <w:t>乙方派遣人员要求：</w:t>
      </w:r>
    </w:p>
    <w:p>
      <w:pPr>
        <w:numPr>
          <w:ilvl w:val="2"/>
          <w:numId w:val="1"/>
        </w:numPr>
        <w:tabs>
          <w:tab w:val="clear" w:pos="420"/>
        </w:tabs>
        <w:spacing w:line="440" w:lineRule="exact"/>
        <w:rPr>
          <w:rFonts w:ascii="等线" w:hAnsi="等线" w:eastAsia="等线" w:cs="等线"/>
          <w:sz w:val="28"/>
          <w:szCs w:val="28"/>
        </w:rPr>
      </w:pPr>
      <w:r>
        <w:rPr>
          <w:rFonts w:hint="eastAsia" w:ascii="等线" w:hAnsi="等线" w:eastAsia="等线" w:cs="等线"/>
          <w:sz w:val="28"/>
          <w:szCs w:val="28"/>
        </w:rPr>
        <w:t>男的年龄不得超过60周岁，女的年龄不得超过5</w:t>
      </w:r>
      <w:r>
        <w:rPr>
          <w:rFonts w:ascii="等线" w:hAnsi="等线" w:eastAsia="等线" w:cs="等线"/>
          <w:sz w:val="28"/>
          <w:szCs w:val="28"/>
        </w:rPr>
        <w:t>5</w:t>
      </w:r>
      <w:r>
        <w:rPr>
          <w:rFonts w:hint="eastAsia" w:ascii="等线" w:hAnsi="等线" w:eastAsia="等线" w:cs="等线"/>
          <w:sz w:val="28"/>
          <w:szCs w:val="28"/>
        </w:rPr>
        <w:t>周岁。</w:t>
      </w:r>
    </w:p>
    <w:p>
      <w:pPr>
        <w:numPr>
          <w:ilvl w:val="2"/>
          <w:numId w:val="1"/>
        </w:numPr>
        <w:tabs>
          <w:tab w:val="clear" w:pos="420"/>
        </w:tabs>
        <w:spacing w:line="440" w:lineRule="exact"/>
        <w:rPr>
          <w:rFonts w:ascii="等线" w:hAnsi="等线" w:eastAsia="等线" w:cs="等线"/>
          <w:sz w:val="28"/>
          <w:szCs w:val="28"/>
        </w:rPr>
      </w:pPr>
      <w:r>
        <w:rPr>
          <w:rFonts w:hint="eastAsia" w:ascii="等线" w:hAnsi="等线" w:eastAsia="等线" w:cs="等线"/>
          <w:sz w:val="28"/>
          <w:szCs w:val="28"/>
        </w:rPr>
        <w:t>持有中级及以上国家注册安全工程师执业证书，或高级</w:t>
      </w:r>
      <w:r>
        <w:rPr>
          <w:rFonts w:hint="eastAsia" w:ascii="等线" w:hAnsi="等线" w:eastAsia="等线" w:cs="等线"/>
          <w:sz w:val="28"/>
          <w:szCs w:val="28"/>
          <w:lang w:val="en-US" w:eastAsia="zh-CN"/>
        </w:rPr>
        <w:t>工程师</w:t>
      </w:r>
      <w:r>
        <w:rPr>
          <w:rFonts w:hint="eastAsia" w:ascii="等线" w:hAnsi="等线" w:eastAsia="等线" w:cs="等线"/>
          <w:sz w:val="28"/>
          <w:szCs w:val="28"/>
        </w:rPr>
        <w:t>以上职称；2021年以来有在1个大中型石油化工建设项目（投资总额10亿元以上）或单项合同金额超200万以上石油化工类第三方安全技术服务从业经验。</w:t>
      </w:r>
    </w:p>
    <w:p>
      <w:pPr>
        <w:numPr>
          <w:ilvl w:val="2"/>
          <w:numId w:val="1"/>
        </w:numPr>
        <w:tabs>
          <w:tab w:val="clear" w:pos="420"/>
        </w:tabs>
        <w:spacing w:line="440" w:lineRule="exact"/>
        <w:rPr>
          <w:rFonts w:ascii="等线" w:hAnsi="等线" w:eastAsia="等线" w:cs="等线"/>
          <w:sz w:val="28"/>
          <w:szCs w:val="28"/>
        </w:rPr>
      </w:pPr>
      <w:r>
        <w:rPr>
          <w:rFonts w:hint="eastAsia" w:ascii="等线" w:hAnsi="等线" w:eastAsia="等线" w:cs="等线"/>
          <w:sz w:val="28"/>
          <w:szCs w:val="28"/>
        </w:rPr>
        <w:t>乙方应如实提交所有拟派人员简历待甲方审查，未经甲方同意不得随意更换。</w:t>
      </w:r>
    </w:p>
    <w:p>
      <w:pPr>
        <w:numPr>
          <w:ilvl w:val="2"/>
          <w:numId w:val="1"/>
        </w:numPr>
        <w:tabs>
          <w:tab w:val="clear" w:pos="420"/>
        </w:tabs>
        <w:spacing w:line="440" w:lineRule="exact"/>
        <w:rPr>
          <w:rFonts w:ascii="等线" w:hAnsi="等线" w:eastAsia="等线" w:cs="等线"/>
          <w:sz w:val="28"/>
          <w:szCs w:val="28"/>
        </w:rPr>
      </w:pPr>
      <w:r>
        <w:rPr>
          <w:rFonts w:hint="eastAsia" w:ascii="等线" w:hAnsi="等线" w:eastAsia="等线" w:cs="等线"/>
          <w:sz w:val="28"/>
          <w:szCs w:val="28"/>
        </w:rPr>
        <w:t>甲方有权要求乙方更换派遣人员，乙方需无条件支持，并在更换需求提出2周内完成人员更换。</w:t>
      </w:r>
    </w:p>
    <w:p>
      <w:pPr>
        <w:numPr>
          <w:ilvl w:val="2"/>
          <w:numId w:val="1"/>
        </w:numPr>
        <w:tabs>
          <w:tab w:val="clear" w:pos="420"/>
        </w:tabs>
        <w:spacing w:line="440" w:lineRule="exact"/>
        <w:rPr>
          <w:rFonts w:ascii="等线" w:hAnsi="等线" w:eastAsia="等线" w:cs="等线"/>
          <w:sz w:val="28"/>
          <w:szCs w:val="28"/>
        </w:rPr>
      </w:pPr>
      <w:r>
        <w:rPr>
          <w:rFonts w:hint="eastAsia" w:ascii="等线" w:hAnsi="等线" w:eastAsia="等线" w:cs="等线"/>
          <w:sz w:val="28"/>
          <w:szCs w:val="28"/>
        </w:rPr>
        <w:t>人员需求计划表</w:t>
      </w:r>
    </w:p>
    <w:tbl>
      <w:tblPr>
        <w:tblStyle w:val="11"/>
        <w:tblW w:w="85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3262"/>
        <w:gridCol w:w="991"/>
        <w:gridCol w:w="3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567" w:type="dxa"/>
            <w:vMerge w:val="restart"/>
            <w:vAlign w:val="center"/>
          </w:tcPr>
          <w:p>
            <w:pPr>
              <w:rPr>
                <w:rFonts w:ascii="等线" w:hAnsi="等线" w:eastAsia="等线" w:cs="等线"/>
                <w:szCs w:val="28"/>
              </w:rPr>
            </w:pPr>
            <w:r>
              <w:rPr>
                <w:rFonts w:hint="eastAsia"/>
                <w:sz w:val="24"/>
                <w:szCs w:val="32"/>
              </w:rPr>
              <w:t>序号</w:t>
            </w:r>
          </w:p>
        </w:tc>
        <w:tc>
          <w:tcPr>
            <w:tcW w:w="4253" w:type="dxa"/>
            <w:gridSpan w:val="2"/>
            <w:vAlign w:val="center"/>
          </w:tcPr>
          <w:p>
            <w:pPr>
              <w:jc w:val="center"/>
              <w:rPr>
                <w:rFonts w:ascii="等线" w:hAnsi="等线" w:eastAsia="等线" w:cs="等线"/>
                <w:sz w:val="28"/>
                <w:szCs w:val="28"/>
              </w:rPr>
            </w:pPr>
            <w:r>
              <w:rPr>
                <w:rFonts w:hint="eastAsia" w:ascii="等线" w:hAnsi="等线" w:eastAsia="等线" w:cs="等线"/>
                <w:sz w:val="28"/>
                <w:szCs w:val="28"/>
              </w:rPr>
              <w:t>需求计划</w:t>
            </w:r>
          </w:p>
        </w:tc>
        <w:tc>
          <w:tcPr>
            <w:tcW w:w="3685" w:type="dxa"/>
            <w:vMerge w:val="restart"/>
            <w:vAlign w:val="center"/>
          </w:tcPr>
          <w:p>
            <w:pPr>
              <w:jc w:val="center"/>
              <w:rPr>
                <w:rFonts w:ascii="等线" w:hAnsi="等线" w:eastAsia="等线" w:cs="等线"/>
                <w:szCs w:val="28"/>
              </w:rPr>
            </w:pPr>
            <w:r>
              <w:rPr>
                <w:rFonts w:hint="eastAsia" w:ascii="等线" w:hAnsi="等线" w:eastAsia="等线" w:cs="等线"/>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5" w:hRule="atLeast"/>
          <w:jc w:val="center"/>
        </w:trPr>
        <w:tc>
          <w:tcPr>
            <w:tcW w:w="567" w:type="dxa"/>
            <w:vMerge w:val="continue"/>
            <w:vAlign w:val="center"/>
          </w:tcPr>
          <w:p>
            <w:pPr>
              <w:adjustRightInd w:val="0"/>
              <w:snapToGrid w:val="0"/>
              <w:spacing w:line="440" w:lineRule="exact"/>
              <w:jc w:val="center"/>
              <w:outlineLvl w:val="0"/>
              <w:rPr>
                <w:rFonts w:ascii="等线" w:hAnsi="等线" w:eastAsia="等线" w:cs="等线"/>
                <w:sz w:val="28"/>
                <w:szCs w:val="28"/>
              </w:rPr>
            </w:pPr>
          </w:p>
        </w:tc>
        <w:tc>
          <w:tcPr>
            <w:tcW w:w="3262" w:type="dxa"/>
            <w:vAlign w:val="center"/>
          </w:tcPr>
          <w:p>
            <w:pPr>
              <w:jc w:val="center"/>
              <w:rPr>
                <w:rFonts w:ascii="等线" w:hAnsi="等线" w:eastAsia="等线" w:cs="等线"/>
                <w:sz w:val="28"/>
                <w:szCs w:val="28"/>
              </w:rPr>
            </w:pPr>
            <w:r>
              <w:rPr>
                <w:rFonts w:hint="eastAsia" w:ascii="等线" w:hAnsi="等线" w:eastAsia="等线" w:cs="等线"/>
                <w:sz w:val="28"/>
                <w:szCs w:val="28"/>
              </w:rPr>
              <w:t>岗位</w:t>
            </w:r>
          </w:p>
        </w:tc>
        <w:tc>
          <w:tcPr>
            <w:tcW w:w="991" w:type="dxa"/>
            <w:vAlign w:val="center"/>
          </w:tcPr>
          <w:p>
            <w:pPr>
              <w:jc w:val="center"/>
              <w:rPr>
                <w:rFonts w:ascii="等线" w:hAnsi="等线" w:eastAsia="等线" w:cs="等线"/>
                <w:sz w:val="28"/>
                <w:szCs w:val="28"/>
              </w:rPr>
            </w:pPr>
            <w:r>
              <w:rPr>
                <w:rFonts w:hint="eastAsia" w:ascii="等线" w:hAnsi="等线" w:eastAsia="等线" w:cs="等线"/>
                <w:sz w:val="28"/>
                <w:szCs w:val="28"/>
              </w:rPr>
              <w:t>人数</w:t>
            </w:r>
          </w:p>
        </w:tc>
        <w:tc>
          <w:tcPr>
            <w:tcW w:w="3685" w:type="dxa"/>
            <w:vMerge w:val="continue"/>
            <w:vAlign w:val="center"/>
          </w:tcPr>
          <w:p>
            <w:pPr>
              <w:adjustRightInd w:val="0"/>
              <w:snapToGrid w:val="0"/>
              <w:spacing w:line="440" w:lineRule="exact"/>
              <w:jc w:val="center"/>
              <w:outlineLvl w:val="0"/>
              <w:rPr>
                <w:rFonts w:ascii="等线" w:hAnsi="等线" w:eastAsia="等线" w:cs="等线"/>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567" w:type="dxa"/>
            <w:vAlign w:val="center"/>
          </w:tcPr>
          <w:p>
            <w:pPr>
              <w:jc w:val="center"/>
              <w:rPr>
                <w:rFonts w:ascii="等线" w:hAnsi="等线" w:eastAsia="等线" w:cs="等线"/>
                <w:sz w:val="28"/>
                <w:szCs w:val="36"/>
              </w:rPr>
            </w:pPr>
            <w:r>
              <w:rPr>
                <w:rFonts w:ascii="等线" w:hAnsi="等线" w:eastAsia="等线" w:cs="等线"/>
                <w:sz w:val="28"/>
                <w:szCs w:val="36"/>
              </w:rPr>
              <w:t>1</w:t>
            </w:r>
          </w:p>
        </w:tc>
        <w:tc>
          <w:tcPr>
            <w:tcW w:w="3262" w:type="dxa"/>
            <w:vAlign w:val="center"/>
          </w:tcPr>
          <w:p>
            <w:pPr>
              <w:jc w:val="center"/>
              <w:rPr>
                <w:rFonts w:ascii="等线" w:hAnsi="等线" w:eastAsia="等线" w:cs="等线"/>
                <w:sz w:val="28"/>
                <w:szCs w:val="36"/>
              </w:rPr>
            </w:pPr>
            <w:r>
              <w:rPr>
                <w:rFonts w:hint="eastAsia" w:ascii="等线" w:hAnsi="等线" w:eastAsia="等线" w:cs="等线"/>
                <w:sz w:val="28"/>
                <w:szCs w:val="36"/>
              </w:rPr>
              <w:t>项目工程师</w:t>
            </w:r>
          </w:p>
        </w:tc>
        <w:tc>
          <w:tcPr>
            <w:tcW w:w="991" w:type="dxa"/>
            <w:vAlign w:val="center"/>
          </w:tcPr>
          <w:p>
            <w:pPr>
              <w:adjustRightInd w:val="0"/>
              <w:snapToGrid w:val="0"/>
              <w:spacing w:line="440" w:lineRule="exact"/>
              <w:jc w:val="center"/>
              <w:outlineLvl w:val="0"/>
              <w:rPr>
                <w:rFonts w:ascii="等线" w:hAnsi="等线" w:eastAsia="等线" w:cs="等线"/>
                <w:sz w:val="28"/>
                <w:szCs w:val="28"/>
              </w:rPr>
            </w:pPr>
            <w:r>
              <w:rPr>
                <w:rFonts w:ascii="等线" w:hAnsi="等线" w:eastAsia="等线" w:cs="等线"/>
                <w:sz w:val="28"/>
                <w:szCs w:val="28"/>
              </w:rPr>
              <w:t>3</w:t>
            </w:r>
          </w:p>
        </w:tc>
        <w:tc>
          <w:tcPr>
            <w:tcW w:w="3685" w:type="dxa"/>
            <w:vAlign w:val="center"/>
          </w:tcPr>
          <w:p>
            <w:pPr>
              <w:adjustRightInd w:val="0"/>
              <w:snapToGrid w:val="0"/>
              <w:spacing w:line="440" w:lineRule="exact"/>
              <w:jc w:val="left"/>
              <w:outlineLvl w:val="0"/>
              <w:rPr>
                <w:rFonts w:ascii="等线" w:hAnsi="等线" w:eastAsia="等线" w:cs="等线"/>
                <w:sz w:val="28"/>
                <w:szCs w:val="28"/>
              </w:rPr>
            </w:pPr>
            <w:r>
              <w:rPr>
                <w:rFonts w:ascii="等线" w:hAnsi="等线" w:eastAsia="等线" w:cs="等线"/>
                <w:sz w:val="28"/>
                <w:szCs w:val="28"/>
              </w:rPr>
              <w:t>1、</w:t>
            </w:r>
            <w:r>
              <w:rPr>
                <w:rFonts w:hint="eastAsia" w:ascii="等线" w:hAnsi="等线" w:eastAsia="等线" w:cs="等线"/>
                <w:sz w:val="28"/>
                <w:szCs w:val="28"/>
              </w:rPr>
              <w:t>合同项目服务周期拟定为2</w:t>
            </w:r>
            <w:r>
              <w:rPr>
                <w:rFonts w:ascii="等线" w:hAnsi="等线" w:eastAsia="等线" w:cs="等线"/>
                <w:sz w:val="28"/>
                <w:szCs w:val="28"/>
              </w:rPr>
              <w:t>025年3</w:t>
            </w:r>
            <w:r>
              <w:rPr>
                <w:rFonts w:hint="eastAsia" w:ascii="等线" w:hAnsi="等线" w:eastAsia="等线" w:cs="等线"/>
                <w:sz w:val="28"/>
                <w:szCs w:val="28"/>
              </w:rPr>
              <w:t>月至2</w:t>
            </w:r>
            <w:r>
              <w:rPr>
                <w:rFonts w:ascii="等线" w:hAnsi="等线" w:eastAsia="等线" w:cs="等线"/>
                <w:sz w:val="28"/>
                <w:szCs w:val="28"/>
              </w:rPr>
              <w:t>026年8</w:t>
            </w:r>
            <w:r>
              <w:rPr>
                <w:rFonts w:hint="eastAsia" w:ascii="等线" w:hAnsi="等线" w:eastAsia="等线" w:cs="等线"/>
                <w:sz w:val="28"/>
                <w:szCs w:val="28"/>
              </w:rPr>
              <w:t>月，共计1</w:t>
            </w:r>
            <w:r>
              <w:rPr>
                <w:rFonts w:ascii="等线" w:hAnsi="等线" w:eastAsia="等线" w:cs="等线"/>
                <w:sz w:val="28"/>
                <w:szCs w:val="28"/>
              </w:rPr>
              <w:t>8个月，以实际项目结束时间为准。</w:t>
            </w:r>
          </w:p>
          <w:p>
            <w:pPr>
              <w:adjustRightInd w:val="0"/>
              <w:snapToGrid w:val="0"/>
              <w:spacing w:line="440" w:lineRule="exact"/>
              <w:jc w:val="left"/>
              <w:outlineLvl w:val="0"/>
              <w:rPr>
                <w:rFonts w:ascii="等线" w:hAnsi="等线" w:eastAsia="等线" w:cs="等线"/>
                <w:sz w:val="28"/>
                <w:szCs w:val="28"/>
              </w:rPr>
            </w:pPr>
            <w:r>
              <w:rPr>
                <w:rFonts w:ascii="等线" w:hAnsi="等线" w:eastAsia="等线" w:cs="等线"/>
                <w:sz w:val="28"/>
                <w:szCs w:val="28"/>
              </w:rPr>
              <w:t>2</w:t>
            </w:r>
            <w:r>
              <w:rPr>
                <w:rFonts w:hint="eastAsia" w:ascii="等线" w:hAnsi="等线" w:eastAsia="等线" w:cs="等线"/>
                <w:sz w:val="28"/>
                <w:szCs w:val="28"/>
              </w:rPr>
              <w:t>、服务频次为：1次/周。服务周期预计为</w:t>
            </w:r>
            <w:r>
              <w:rPr>
                <w:rFonts w:ascii="等线" w:hAnsi="等线" w:eastAsia="等线" w:cs="等线"/>
                <w:sz w:val="28"/>
                <w:szCs w:val="28"/>
              </w:rPr>
              <w:t>78周。</w:t>
            </w:r>
          </w:p>
        </w:tc>
      </w:tr>
    </w:tbl>
    <w:p>
      <w:pPr>
        <w:pStyle w:val="3"/>
        <w:numPr>
          <w:ilvl w:val="0"/>
          <w:numId w:val="1"/>
        </w:numPr>
        <w:spacing w:before="156" w:beforeLines="50" w:after="0" w:line="440" w:lineRule="exact"/>
        <w:rPr>
          <w:rFonts w:ascii="等线" w:hAnsi="等线" w:eastAsia="等线" w:cs="等线"/>
          <w:sz w:val="28"/>
          <w:szCs w:val="28"/>
        </w:rPr>
      </w:pPr>
      <w:bookmarkStart w:id="4" w:name="_Toc19556"/>
      <w:r>
        <w:rPr>
          <w:rFonts w:hint="eastAsia" w:ascii="等线" w:hAnsi="等线" w:eastAsia="等线" w:cs="等线"/>
          <w:sz w:val="28"/>
          <w:szCs w:val="28"/>
        </w:rPr>
        <w:t>服务内容及要求</w:t>
      </w:r>
      <w:bookmarkEnd w:id="4"/>
    </w:p>
    <w:p>
      <w:pPr>
        <w:numPr>
          <w:ilvl w:val="1"/>
          <w:numId w:val="1"/>
        </w:numPr>
        <w:spacing w:line="440" w:lineRule="exact"/>
        <w:rPr>
          <w:rFonts w:ascii="等线" w:hAnsi="等线" w:eastAsia="等线" w:cs="等线"/>
          <w:sz w:val="28"/>
          <w:szCs w:val="28"/>
        </w:rPr>
      </w:pPr>
      <w:r>
        <w:rPr>
          <w:rFonts w:hint="eastAsia" w:ascii="等线" w:hAnsi="等线" w:eastAsia="等线" w:cs="等线"/>
          <w:sz w:val="28"/>
          <w:szCs w:val="28"/>
        </w:rPr>
        <w:t>服务内容：</w:t>
      </w:r>
    </w:p>
    <w:p>
      <w:pPr>
        <w:spacing w:line="440" w:lineRule="exact"/>
        <w:ind w:firstLine="420"/>
        <w:rPr>
          <w:rFonts w:ascii="等线" w:hAnsi="等线" w:eastAsia="等线" w:cs="等线"/>
          <w:sz w:val="28"/>
          <w:szCs w:val="28"/>
        </w:rPr>
      </w:pPr>
      <w:r>
        <w:rPr>
          <w:rFonts w:hint="eastAsia" w:ascii="等线" w:hAnsi="等线" w:eastAsia="等线" w:cs="等线"/>
          <w:sz w:val="28"/>
          <w:szCs w:val="28"/>
        </w:rPr>
        <w:t>以下服务内容对工程监理、EPC、PC总承包商、施工分包商等统称承包商。</w:t>
      </w:r>
    </w:p>
    <w:p>
      <w:pPr>
        <w:spacing w:line="440" w:lineRule="exact"/>
        <w:ind w:firstLine="420"/>
        <w:rPr>
          <w:rFonts w:ascii="等线" w:hAnsi="等线" w:eastAsia="等线" w:cs="等线"/>
          <w:sz w:val="28"/>
          <w:szCs w:val="28"/>
        </w:rPr>
      </w:pPr>
      <w:r>
        <w:rPr>
          <w:rFonts w:hint="eastAsia" w:ascii="等线" w:hAnsi="等线" w:eastAsia="等线" w:cs="等线"/>
          <w:sz w:val="28"/>
          <w:szCs w:val="28"/>
        </w:rPr>
        <w:t>乙方的项目安全管理人员对本项目工程承包商，进行安全监管，最大限度实现不发生安全事故、不造成人员伤害、不破坏环境，实现本工程的HSE愿景目标。具体服务内容包括但不限于以下内容：</w:t>
      </w:r>
    </w:p>
    <w:p>
      <w:pPr>
        <w:numPr>
          <w:ilvl w:val="2"/>
          <w:numId w:val="1"/>
        </w:numPr>
        <w:tabs>
          <w:tab w:val="clear" w:pos="420"/>
        </w:tabs>
        <w:spacing w:line="440" w:lineRule="exact"/>
        <w:rPr>
          <w:rFonts w:ascii="等线" w:hAnsi="等线" w:eastAsia="等线" w:cs="等线"/>
          <w:sz w:val="28"/>
          <w:szCs w:val="28"/>
        </w:rPr>
      </w:pPr>
      <w:r>
        <w:rPr>
          <w:rFonts w:hint="eastAsia" w:ascii="等线" w:hAnsi="等线" w:eastAsia="等线" w:cs="等线"/>
          <w:sz w:val="28"/>
          <w:szCs w:val="28"/>
        </w:rPr>
        <w:t>负责对承包商施工作业环节进行安全监察，制定项目安全监管实施方案。</w:t>
      </w:r>
    </w:p>
    <w:p>
      <w:pPr>
        <w:numPr>
          <w:ilvl w:val="2"/>
          <w:numId w:val="1"/>
        </w:numPr>
        <w:tabs>
          <w:tab w:val="clear" w:pos="420"/>
        </w:tabs>
        <w:spacing w:line="440" w:lineRule="exact"/>
        <w:rPr>
          <w:rFonts w:ascii="等线" w:hAnsi="等线" w:eastAsia="等线" w:cs="等线"/>
          <w:sz w:val="28"/>
          <w:szCs w:val="28"/>
        </w:rPr>
      </w:pPr>
      <w:r>
        <w:rPr>
          <w:rFonts w:hint="eastAsia" w:ascii="等线" w:hAnsi="等线" w:eastAsia="等线" w:cs="等线"/>
          <w:sz w:val="28"/>
          <w:szCs w:val="28"/>
        </w:rPr>
        <w:t>根据甲方的工作计划和要求，组织、参与常态化、反三违、专项等安全检查。</w:t>
      </w:r>
    </w:p>
    <w:p>
      <w:pPr>
        <w:numPr>
          <w:ilvl w:val="2"/>
          <w:numId w:val="1"/>
        </w:numPr>
        <w:tabs>
          <w:tab w:val="clear" w:pos="420"/>
        </w:tabs>
        <w:spacing w:line="440" w:lineRule="exact"/>
        <w:rPr>
          <w:rFonts w:ascii="等线" w:hAnsi="等线" w:eastAsia="等线" w:cs="等线"/>
          <w:sz w:val="28"/>
          <w:szCs w:val="28"/>
        </w:rPr>
      </w:pPr>
      <w:r>
        <w:rPr>
          <w:rFonts w:hint="eastAsia" w:ascii="等线" w:hAnsi="等线" w:eastAsia="等线" w:cs="等线"/>
          <w:sz w:val="28"/>
          <w:szCs w:val="28"/>
        </w:rPr>
        <w:t>对现场脚手架、吊装、用电等作业环节提供安全管理技术支撑。</w:t>
      </w:r>
    </w:p>
    <w:p>
      <w:pPr>
        <w:numPr>
          <w:ilvl w:val="2"/>
          <w:numId w:val="1"/>
        </w:numPr>
        <w:tabs>
          <w:tab w:val="clear" w:pos="420"/>
        </w:tabs>
        <w:spacing w:line="440" w:lineRule="exact"/>
        <w:rPr>
          <w:rFonts w:ascii="等线" w:hAnsi="等线" w:eastAsia="等线" w:cs="等线"/>
          <w:sz w:val="28"/>
          <w:szCs w:val="28"/>
        </w:rPr>
      </w:pPr>
      <w:r>
        <w:rPr>
          <w:rFonts w:hint="eastAsia" w:ascii="等线" w:hAnsi="等线" w:eastAsia="等线" w:cs="等线"/>
          <w:sz w:val="28"/>
          <w:szCs w:val="28"/>
        </w:rPr>
        <w:t>定期开展现场安全管理问题及违章问题统计分析，针对分析结果制定针对性的控制措施并督促承包商落实。</w:t>
      </w:r>
    </w:p>
    <w:p>
      <w:pPr>
        <w:numPr>
          <w:ilvl w:val="2"/>
          <w:numId w:val="1"/>
        </w:numPr>
        <w:tabs>
          <w:tab w:val="clear" w:pos="420"/>
        </w:tabs>
        <w:spacing w:line="440" w:lineRule="exact"/>
        <w:rPr>
          <w:rFonts w:ascii="等线" w:hAnsi="等线" w:eastAsia="等线" w:cs="等线"/>
          <w:sz w:val="28"/>
          <w:szCs w:val="28"/>
        </w:rPr>
      </w:pPr>
      <w:r>
        <w:rPr>
          <w:rFonts w:hint="eastAsia" w:ascii="等线" w:hAnsi="等线" w:eastAsia="等线" w:cs="等线"/>
          <w:sz w:val="28"/>
          <w:szCs w:val="28"/>
        </w:rPr>
        <w:t>参与高风险作业施工方案及管理措施的审查。</w:t>
      </w:r>
    </w:p>
    <w:p>
      <w:pPr>
        <w:numPr>
          <w:ilvl w:val="2"/>
          <w:numId w:val="1"/>
        </w:numPr>
        <w:tabs>
          <w:tab w:val="clear" w:pos="420"/>
        </w:tabs>
        <w:spacing w:line="440" w:lineRule="exact"/>
        <w:rPr>
          <w:rFonts w:ascii="等线" w:hAnsi="等线" w:eastAsia="等线" w:cs="等线"/>
          <w:sz w:val="28"/>
          <w:szCs w:val="28"/>
        </w:rPr>
      </w:pPr>
      <w:r>
        <w:rPr>
          <w:rFonts w:hint="eastAsia" w:ascii="等线" w:hAnsi="等线" w:eastAsia="等线" w:cs="等线"/>
          <w:sz w:val="28"/>
          <w:szCs w:val="28"/>
        </w:rPr>
        <w:t>对危险性较大或存在重大风险的施工作业进行安全旁站督察。</w:t>
      </w:r>
    </w:p>
    <w:p>
      <w:pPr>
        <w:numPr>
          <w:ilvl w:val="2"/>
          <w:numId w:val="1"/>
        </w:numPr>
        <w:tabs>
          <w:tab w:val="clear" w:pos="420"/>
        </w:tabs>
        <w:spacing w:line="440" w:lineRule="exact"/>
        <w:rPr>
          <w:rFonts w:ascii="等线" w:hAnsi="等线" w:eastAsia="等线" w:cs="等线"/>
          <w:sz w:val="28"/>
          <w:szCs w:val="28"/>
        </w:rPr>
      </w:pPr>
      <w:r>
        <w:rPr>
          <w:rFonts w:hint="eastAsia" w:ascii="等线" w:hAnsi="等线" w:eastAsia="等线" w:cs="等线"/>
          <w:sz w:val="28"/>
          <w:szCs w:val="28"/>
        </w:rPr>
        <w:t>定期通报本项目安全监管情况。</w:t>
      </w:r>
    </w:p>
    <w:p>
      <w:pPr>
        <w:numPr>
          <w:ilvl w:val="2"/>
          <w:numId w:val="1"/>
        </w:numPr>
        <w:tabs>
          <w:tab w:val="clear" w:pos="420"/>
        </w:tabs>
        <w:spacing w:line="440" w:lineRule="exact"/>
        <w:rPr>
          <w:rFonts w:ascii="等线" w:hAnsi="等线" w:eastAsia="等线" w:cs="等线"/>
          <w:sz w:val="28"/>
          <w:szCs w:val="28"/>
        </w:rPr>
      </w:pPr>
      <w:r>
        <w:rPr>
          <w:rFonts w:hint="eastAsia" w:ascii="等线" w:hAnsi="等线" w:eastAsia="等线" w:cs="等线"/>
          <w:sz w:val="28"/>
          <w:szCs w:val="28"/>
        </w:rPr>
        <w:t>针对承包商考核、评价向甲方提供专业意见。</w:t>
      </w:r>
    </w:p>
    <w:p>
      <w:pPr>
        <w:numPr>
          <w:ilvl w:val="2"/>
          <w:numId w:val="1"/>
        </w:numPr>
        <w:tabs>
          <w:tab w:val="clear" w:pos="420"/>
        </w:tabs>
        <w:spacing w:line="440" w:lineRule="exact"/>
        <w:rPr>
          <w:rFonts w:ascii="等线" w:hAnsi="等线" w:eastAsia="等线" w:cs="等线"/>
          <w:sz w:val="28"/>
          <w:szCs w:val="28"/>
        </w:rPr>
      </w:pPr>
      <w:r>
        <w:rPr>
          <w:rFonts w:hint="eastAsia" w:ascii="等线" w:hAnsi="等线" w:eastAsia="等线" w:cs="等线"/>
          <w:sz w:val="28"/>
          <w:szCs w:val="28"/>
        </w:rPr>
        <w:t>按需为甲方提供其他安全咨询服务。</w:t>
      </w:r>
    </w:p>
    <w:p>
      <w:pPr>
        <w:numPr>
          <w:ilvl w:val="2"/>
          <w:numId w:val="1"/>
        </w:numPr>
        <w:tabs>
          <w:tab w:val="clear" w:pos="420"/>
        </w:tabs>
        <w:spacing w:line="440" w:lineRule="exact"/>
        <w:rPr>
          <w:rFonts w:ascii="等线" w:hAnsi="等线" w:eastAsia="等线" w:cs="等线"/>
          <w:sz w:val="28"/>
          <w:szCs w:val="28"/>
        </w:rPr>
      </w:pPr>
      <w:r>
        <w:rPr>
          <w:rFonts w:hint="eastAsia" w:ascii="等线" w:hAnsi="等线" w:eastAsia="等线" w:cs="等线"/>
          <w:sz w:val="28"/>
          <w:szCs w:val="28"/>
        </w:rPr>
        <w:t>安全技术服务项目范围为原料适应性技改项目、芳烃节能改造项目、集中空分空压项目，甲方有权根据项目需求，调整服务项目范围。</w:t>
      </w:r>
    </w:p>
    <w:p>
      <w:pPr>
        <w:pStyle w:val="3"/>
        <w:numPr>
          <w:ilvl w:val="0"/>
          <w:numId w:val="1"/>
        </w:numPr>
        <w:spacing w:before="156" w:beforeLines="50" w:after="0" w:line="440" w:lineRule="exact"/>
        <w:rPr>
          <w:rFonts w:ascii="等线" w:hAnsi="等线" w:eastAsia="等线" w:cs="等线"/>
          <w:sz w:val="28"/>
          <w:szCs w:val="28"/>
        </w:rPr>
      </w:pPr>
      <w:bookmarkStart w:id="5" w:name="_Toc23667"/>
      <w:r>
        <w:rPr>
          <w:rFonts w:hint="eastAsia" w:ascii="等线" w:hAnsi="等线" w:eastAsia="等线" w:cs="等线"/>
          <w:sz w:val="28"/>
          <w:szCs w:val="28"/>
        </w:rPr>
        <w:t>计价原则</w:t>
      </w:r>
      <w:bookmarkEnd w:id="5"/>
    </w:p>
    <w:p>
      <w:pPr>
        <w:numPr>
          <w:ilvl w:val="1"/>
          <w:numId w:val="1"/>
        </w:numPr>
        <w:spacing w:line="440" w:lineRule="exact"/>
        <w:rPr>
          <w:rFonts w:ascii="等线" w:hAnsi="等线" w:eastAsia="等线" w:cs="等线"/>
          <w:sz w:val="28"/>
          <w:szCs w:val="28"/>
        </w:rPr>
      </w:pPr>
      <w:r>
        <w:rPr>
          <w:rFonts w:hint="eastAsia" w:ascii="等线" w:hAnsi="等线" w:eastAsia="等线" w:cs="等线"/>
          <w:sz w:val="28"/>
          <w:szCs w:val="28"/>
        </w:rPr>
        <w:t>合同计价模式：</w:t>
      </w:r>
    </w:p>
    <w:p>
      <w:pPr>
        <w:numPr>
          <w:ilvl w:val="2"/>
          <w:numId w:val="1"/>
        </w:numPr>
        <w:tabs>
          <w:tab w:val="clear" w:pos="420"/>
        </w:tabs>
        <w:spacing w:line="440" w:lineRule="exact"/>
        <w:rPr>
          <w:rFonts w:ascii="等线" w:hAnsi="等线" w:eastAsia="等线" w:cs="等线"/>
          <w:sz w:val="28"/>
          <w:szCs w:val="28"/>
        </w:rPr>
      </w:pPr>
      <w:r>
        <w:rPr>
          <w:rFonts w:hint="eastAsia" w:ascii="等线" w:hAnsi="等线" w:eastAsia="等线" w:cs="等线"/>
          <w:sz w:val="28"/>
          <w:szCs w:val="28"/>
        </w:rPr>
        <w:t>本次</w:t>
      </w:r>
      <w:r>
        <w:rPr>
          <w:rFonts w:hint="eastAsia" w:ascii="等线" w:hAnsi="等线" w:eastAsia="等线" w:cs="等线"/>
          <w:sz w:val="28"/>
          <w:szCs w:val="28"/>
          <w:lang w:eastAsia="zh-CN"/>
        </w:rPr>
        <w:t>询比</w:t>
      </w:r>
      <w:r>
        <w:rPr>
          <w:rFonts w:hint="eastAsia" w:ascii="等线" w:hAnsi="等线" w:eastAsia="等线" w:cs="等线"/>
          <w:sz w:val="28"/>
          <w:szCs w:val="28"/>
        </w:rPr>
        <w:t>采用固定人工日综合单价的计价模式。</w:t>
      </w:r>
    </w:p>
    <w:p>
      <w:pPr>
        <w:numPr>
          <w:ilvl w:val="2"/>
          <w:numId w:val="1"/>
        </w:numPr>
        <w:tabs>
          <w:tab w:val="clear" w:pos="420"/>
        </w:tabs>
        <w:spacing w:line="440" w:lineRule="exact"/>
        <w:rPr>
          <w:rFonts w:ascii="等线" w:hAnsi="等线" w:eastAsia="等线" w:cs="等线"/>
          <w:sz w:val="28"/>
          <w:szCs w:val="28"/>
        </w:rPr>
      </w:pPr>
      <w:r>
        <w:rPr>
          <w:rFonts w:hint="eastAsia" w:ascii="等线" w:hAnsi="等线" w:eastAsia="等线" w:cs="等线"/>
          <w:sz w:val="28"/>
          <w:szCs w:val="28"/>
        </w:rPr>
        <w:t>第三方HSE技术服务报价表为：日单价*人员数量*服务周数=合同总报价（即X</w:t>
      </w:r>
      <w:r>
        <w:rPr>
          <w:rFonts w:ascii="等线" w:hAnsi="等线" w:eastAsia="等线" w:cs="等线"/>
          <w:sz w:val="28"/>
          <w:szCs w:val="28"/>
        </w:rPr>
        <w:t>*3*78=合同总报价</w:t>
      </w:r>
      <w:r>
        <w:rPr>
          <w:rFonts w:hint="eastAsia" w:ascii="等线" w:hAnsi="等线" w:eastAsia="等线" w:cs="等线"/>
          <w:sz w:val="28"/>
          <w:szCs w:val="28"/>
        </w:rPr>
        <w:t>）。</w:t>
      </w:r>
    </w:p>
    <w:p>
      <w:pPr>
        <w:numPr>
          <w:ilvl w:val="2"/>
          <w:numId w:val="1"/>
        </w:numPr>
        <w:tabs>
          <w:tab w:val="clear" w:pos="420"/>
        </w:tabs>
        <w:spacing w:line="440" w:lineRule="exact"/>
        <w:rPr>
          <w:rFonts w:ascii="等线" w:hAnsi="等线" w:eastAsia="等线" w:cs="等线"/>
          <w:sz w:val="28"/>
          <w:szCs w:val="28"/>
        </w:rPr>
      </w:pPr>
      <w:r>
        <w:rPr>
          <w:rFonts w:hint="eastAsia" w:ascii="等线" w:hAnsi="等线" w:eastAsia="等线" w:cs="等线"/>
          <w:sz w:val="28"/>
          <w:szCs w:val="28"/>
        </w:rPr>
        <w:t>因工程建设周期不可预见，本次发包服务周期不低于1</w:t>
      </w:r>
      <w:r>
        <w:rPr>
          <w:rFonts w:ascii="等线" w:hAnsi="等线" w:eastAsia="等线" w:cs="等线"/>
          <w:sz w:val="28"/>
          <w:szCs w:val="28"/>
        </w:rPr>
        <w:t>2个月，直至项目结束，以实际技术服务月份进行计算，每</w:t>
      </w:r>
      <w:r>
        <w:rPr>
          <w:rFonts w:hint="eastAsia" w:ascii="等线" w:hAnsi="等线" w:eastAsia="等线" w:cs="等线"/>
          <w:sz w:val="28"/>
          <w:szCs w:val="28"/>
        </w:rPr>
        <w:t>6个月进行一次结算。</w:t>
      </w:r>
    </w:p>
    <w:p>
      <w:pPr>
        <w:numPr>
          <w:ilvl w:val="1"/>
          <w:numId w:val="1"/>
        </w:numPr>
        <w:spacing w:line="440" w:lineRule="exact"/>
        <w:rPr>
          <w:rFonts w:ascii="等线" w:hAnsi="等线" w:eastAsia="等线" w:cs="等线"/>
          <w:sz w:val="28"/>
          <w:szCs w:val="28"/>
        </w:rPr>
      </w:pPr>
      <w:r>
        <w:rPr>
          <w:rFonts w:hint="eastAsia" w:ascii="等线" w:hAnsi="等线" w:eastAsia="等线" w:cs="等线"/>
          <w:sz w:val="28"/>
          <w:szCs w:val="28"/>
        </w:rPr>
        <w:t>人工日综合单价报价说明：</w:t>
      </w:r>
    </w:p>
    <w:p>
      <w:pPr>
        <w:numPr>
          <w:ilvl w:val="2"/>
          <w:numId w:val="1"/>
        </w:numPr>
        <w:tabs>
          <w:tab w:val="clear" w:pos="420"/>
        </w:tabs>
        <w:spacing w:line="440" w:lineRule="exact"/>
        <w:rPr>
          <w:rFonts w:ascii="等线" w:hAnsi="等线" w:eastAsia="等线" w:cs="等线"/>
          <w:sz w:val="28"/>
          <w:szCs w:val="28"/>
        </w:rPr>
      </w:pPr>
      <w:r>
        <w:rPr>
          <w:rFonts w:hint="eastAsia" w:ascii="等线" w:hAnsi="等线" w:eastAsia="等线" w:cs="等线"/>
          <w:sz w:val="28"/>
          <w:szCs w:val="28"/>
        </w:rPr>
        <w:t>人工综合单价包括完成全部安全管理服务等工作所需的费用，</w:t>
      </w:r>
      <w:r>
        <w:rPr>
          <w:rFonts w:hint="eastAsia" w:ascii="等线" w:hAnsi="等线" w:eastAsia="等线" w:cs="等线"/>
          <w:sz w:val="28"/>
          <w:szCs w:val="28"/>
          <w:lang w:eastAsia="zh-CN"/>
        </w:rPr>
        <w:t>参选</w:t>
      </w:r>
      <w:r>
        <w:rPr>
          <w:rFonts w:hint="eastAsia" w:ascii="等线" w:hAnsi="等线" w:eastAsia="等线" w:cs="等线"/>
          <w:sz w:val="28"/>
          <w:szCs w:val="28"/>
        </w:rPr>
        <w:t>报价时综合计取：</w:t>
      </w:r>
    </w:p>
    <w:p>
      <w:pPr>
        <w:numPr>
          <w:ilvl w:val="3"/>
          <w:numId w:val="1"/>
        </w:numPr>
        <w:spacing w:line="440" w:lineRule="exact"/>
        <w:rPr>
          <w:rFonts w:ascii="等线" w:hAnsi="等线" w:eastAsia="等线" w:cs="等线"/>
          <w:sz w:val="28"/>
          <w:szCs w:val="28"/>
        </w:rPr>
      </w:pPr>
      <w:r>
        <w:rPr>
          <w:rFonts w:hint="eastAsia" w:ascii="等线" w:hAnsi="等线" w:eastAsia="等线" w:cs="等线"/>
          <w:sz w:val="28"/>
          <w:szCs w:val="28"/>
        </w:rPr>
        <w:t>人工费、材料费、机械费（含四合一检测仪、防爆手机等仪器设备）；</w:t>
      </w:r>
    </w:p>
    <w:p>
      <w:pPr>
        <w:numPr>
          <w:ilvl w:val="3"/>
          <w:numId w:val="1"/>
        </w:numPr>
        <w:spacing w:line="440" w:lineRule="exact"/>
        <w:rPr>
          <w:rFonts w:ascii="等线" w:hAnsi="等线" w:eastAsia="等线" w:cs="等线"/>
          <w:sz w:val="28"/>
          <w:szCs w:val="28"/>
        </w:rPr>
      </w:pPr>
      <w:r>
        <w:rPr>
          <w:rFonts w:hint="eastAsia" w:ascii="等线" w:hAnsi="等线" w:eastAsia="等线" w:cs="等线"/>
          <w:sz w:val="28"/>
          <w:szCs w:val="28"/>
        </w:rPr>
        <w:t>为开展服务工作所发生的交通、办公（含办公电脑等办公用品，不含乙方已提供的条件）、食宿、差旅、通信费、奖金、周末和法定节假日加班费（含工作时间的延长）；</w:t>
      </w:r>
    </w:p>
    <w:p>
      <w:pPr>
        <w:numPr>
          <w:ilvl w:val="3"/>
          <w:numId w:val="1"/>
        </w:numPr>
        <w:spacing w:line="440" w:lineRule="exact"/>
        <w:rPr>
          <w:rFonts w:ascii="等线" w:hAnsi="等线" w:eastAsia="等线" w:cs="等线"/>
          <w:sz w:val="28"/>
          <w:szCs w:val="28"/>
        </w:rPr>
      </w:pPr>
      <w:r>
        <w:rPr>
          <w:rFonts w:hint="eastAsia" w:ascii="等线" w:hAnsi="等线" w:eastAsia="等线" w:cs="等线"/>
          <w:sz w:val="28"/>
          <w:szCs w:val="28"/>
        </w:rPr>
        <w:t>劳动保护用品（包括安全防护用品）；</w:t>
      </w:r>
    </w:p>
    <w:p>
      <w:pPr>
        <w:numPr>
          <w:ilvl w:val="3"/>
          <w:numId w:val="1"/>
        </w:numPr>
        <w:spacing w:line="440" w:lineRule="exact"/>
        <w:rPr>
          <w:rFonts w:ascii="等线" w:hAnsi="等线" w:eastAsia="等线" w:cs="等线"/>
          <w:sz w:val="28"/>
          <w:szCs w:val="28"/>
        </w:rPr>
      </w:pPr>
      <w:r>
        <w:rPr>
          <w:rFonts w:hint="eastAsia" w:ascii="等线" w:hAnsi="等线" w:eastAsia="等线" w:cs="等线"/>
          <w:sz w:val="28"/>
          <w:szCs w:val="28"/>
        </w:rPr>
        <w:t>人身意外伤害险投保及理赔等费用；</w:t>
      </w:r>
    </w:p>
    <w:p>
      <w:pPr>
        <w:numPr>
          <w:ilvl w:val="3"/>
          <w:numId w:val="1"/>
        </w:numPr>
        <w:spacing w:line="440" w:lineRule="exact"/>
        <w:rPr>
          <w:rFonts w:ascii="等线" w:hAnsi="等线" w:eastAsia="等线" w:cs="等线"/>
          <w:sz w:val="28"/>
          <w:szCs w:val="28"/>
        </w:rPr>
      </w:pPr>
      <w:r>
        <w:rPr>
          <w:rFonts w:hint="eastAsia" w:ascii="等线" w:hAnsi="等线" w:eastAsia="等线" w:cs="等线"/>
          <w:sz w:val="28"/>
          <w:szCs w:val="28"/>
          <w:lang w:eastAsia="zh-CN"/>
        </w:rPr>
        <w:t>询比</w:t>
      </w:r>
      <w:r>
        <w:rPr>
          <w:rFonts w:hint="eastAsia" w:ascii="等线" w:hAnsi="等线" w:eastAsia="等线" w:cs="等线"/>
          <w:sz w:val="28"/>
          <w:szCs w:val="28"/>
        </w:rPr>
        <w:t>技术规格及要求中明确的第三方安全技术服务方相关责任、义务、工作所涉及费用等；</w:t>
      </w:r>
    </w:p>
    <w:p>
      <w:pPr>
        <w:numPr>
          <w:ilvl w:val="3"/>
          <w:numId w:val="1"/>
        </w:numPr>
        <w:spacing w:line="440" w:lineRule="exact"/>
        <w:rPr>
          <w:rFonts w:ascii="等线" w:hAnsi="等线" w:eastAsia="等线" w:cs="等线"/>
          <w:sz w:val="28"/>
          <w:szCs w:val="28"/>
        </w:rPr>
      </w:pPr>
      <w:r>
        <w:rPr>
          <w:rFonts w:hint="eastAsia" w:ascii="等线" w:hAnsi="等线" w:eastAsia="等线" w:cs="等线"/>
          <w:sz w:val="28"/>
          <w:szCs w:val="28"/>
        </w:rPr>
        <w:t>管理费、利润、规费（社会保险费、住房公积金等）、税金（增值税按一般计税方式计算，税率为6%，在</w:t>
      </w:r>
      <w:r>
        <w:rPr>
          <w:rFonts w:hint="eastAsia" w:ascii="等线" w:hAnsi="等线" w:eastAsia="等线" w:cs="等线"/>
          <w:sz w:val="28"/>
          <w:szCs w:val="28"/>
          <w:lang w:eastAsia="zh-CN"/>
        </w:rPr>
        <w:t>参选</w:t>
      </w:r>
      <w:r>
        <w:rPr>
          <w:rFonts w:hint="eastAsia" w:ascii="等线" w:hAnsi="等线" w:eastAsia="等线" w:cs="等线"/>
          <w:sz w:val="28"/>
          <w:szCs w:val="28"/>
        </w:rPr>
        <w:t>报价时计取）等；</w:t>
      </w:r>
    </w:p>
    <w:p>
      <w:pPr>
        <w:numPr>
          <w:ilvl w:val="2"/>
          <w:numId w:val="1"/>
        </w:numPr>
        <w:tabs>
          <w:tab w:val="clear" w:pos="420"/>
        </w:tabs>
        <w:spacing w:line="440" w:lineRule="exact"/>
        <w:rPr>
          <w:rFonts w:ascii="等线" w:hAnsi="等线" w:eastAsia="等线" w:cs="等线"/>
          <w:sz w:val="28"/>
          <w:szCs w:val="28"/>
        </w:rPr>
      </w:pPr>
      <w:r>
        <w:rPr>
          <w:rFonts w:hint="eastAsia" w:ascii="等线" w:hAnsi="等线" w:eastAsia="等线" w:cs="等线"/>
          <w:sz w:val="28"/>
          <w:szCs w:val="28"/>
          <w:lang w:eastAsia="zh-CN"/>
        </w:rPr>
        <w:t>中选</w:t>
      </w:r>
      <w:r>
        <w:rPr>
          <w:rFonts w:hint="eastAsia" w:ascii="等线" w:hAnsi="等线" w:eastAsia="等线" w:cs="等线"/>
          <w:sz w:val="28"/>
          <w:szCs w:val="28"/>
        </w:rPr>
        <w:t>的人工综合单价为固定价，在本次</w:t>
      </w:r>
      <w:r>
        <w:rPr>
          <w:rFonts w:hint="eastAsia" w:ascii="等线" w:hAnsi="等线" w:eastAsia="等线" w:cs="等线"/>
          <w:sz w:val="28"/>
          <w:szCs w:val="28"/>
          <w:lang w:eastAsia="zh-CN"/>
        </w:rPr>
        <w:t>询比</w:t>
      </w:r>
      <w:r>
        <w:rPr>
          <w:rFonts w:hint="eastAsia" w:ascii="等线" w:hAnsi="等线" w:eastAsia="等线" w:cs="等线"/>
          <w:sz w:val="28"/>
          <w:szCs w:val="28"/>
        </w:rPr>
        <w:t>范围、本次</w:t>
      </w:r>
      <w:r>
        <w:rPr>
          <w:rFonts w:hint="eastAsia" w:ascii="等线" w:hAnsi="等线" w:eastAsia="等线" w:cs="等线"/>
          <w:sz w:val="28"/>
          <w:szCs w:val="28"/>
          <w:lang w:eastAsia="zh-CN"/>
        </w:rPr>
        <w:t>询比</w:t>
      </w:r>
      <w:r>
        <w:rPr>
          <w:rFonts w:hint="eastAsia" w:ascii="等线" w:hAnsi="等线" w:eastAsia="等线" w:cs="等线"/>
          <w:sz w:val="28"/>
          <w:szCs w:val="28"/>
        </w:rPr>
        <w:t>规定的风险范围及相关工作服务期内不作调整。</w:t>
      </w:r>
    </w:p>
    <w:p>
      <w:pPr>
        <w:numPr>
          <w:ilvl w:val="2"/>
          <w:numId w:val="1"/>
        </w:numPr>
        <w:tabs>
          <w:tab w:val="clear" w:pos="420"/>
        </w:tabs>
        <w:spacing w:line="440" w:lineRule="exact"/>
        <w:rPr>
          <w:rFonts w:ascii="等线" w:hAnsi="等线" w:eastAsia="等线" w:cs="等线"/>
          <w:sz w:val="28"/>
          <w:szCs w:val="28"/>
        </w:rPr>
      </w:pPr>
      <w:r>
        <w:rPr>
          <w:rFonts w:hint="eastAsia" w:ascii="等线" w:hAnsi="等线" w:eastAsia="等线" w:cs="等线"/>
          <w:sz w:val="28"/>
          <w:szCs w:val="28"/>
        </w:rPr>
        <w:t>乙方承担其派驻现场人员的人身意外伤害保险（不低于 100万/人的人身意外伤害责任险或者赔付同样达到100万/人的工伤保险）及设施等财产的有关保险的办理及费用，由于乙方未按本款规定投保所造成的一切损失及索赔，均由乙方自行承担。</w:t>
      </w:r>
    </w:p>
    <w:p>
      <w:pPr>
        <w:numPr>
          <w:ilvl w:val="1"/>
          <w:numId w:val="1"/>
        </w:numPr>
        <w:spacing w:line="440" w:lineRule="exact"/>
        <w:rPr>
          <w:rFonts w:ascii="等线" w:hAnsi="等线" w:eastAsia="等线" w:cs="等线"/>
          <w:sz w:val="28"/>
          <w:szCs w:val="28"/>
        </w:rPr>
      </w:pPr>
      <w:r>
        <w:rPr>
          <w:rFonts w:hint="eastAsia" w:ascii="等线" w:hAnsi="等线" w:eastAsia="等线" w:cs="等线"/>
          <w:sz w:val="28"/>
          <w:szCs w:val="28"/>
        </w:rPr>
        <w:t>乙方考勤要求：</w:t>
      </w:r>
    </w:p>
    <w:p>
      <w:pPr>
        <w:numPr>
          <w:ilvl w:val="2"/>
          <w:numId w:val="1"/>
        </w:numPr>
        <w:tabs>
          <w:tab w:val="clear" w:pos="420"/>
        </w:tabs>
        <w:spacing w:line="440" w:lineRule="exact"/>
        <w:rPr>
          <w:rFonts w:ascii="等线" w:hAnsi="等线" w:eastAsia="等线" w:cs="等线"/>
          <w:sz w:val="28"/>
          <w:szCs w:val="28"/>
        </w:rPr>
      </w:pPr>
      <w:r>
        <w:rPr>
          <w:rFonts w:hint="eastAsia" w:ascii="等线" w:hAnsi="等线" w:eastAsia="等线" w:cs="等线"/>
          <w:sz w:val="28"/>
          <w:szCs w:val="28"/>
        </w:rPr>
        <w:t>乙方派驻现场管理人员拟定于1次/周，每次不</w:t>
      </w:r>
      <w:r>
        <w:rPr>
          <w:rFonts w:hint="eastAsia" w:ascii="等线" w:hAnsi="等线" w:eastAsia="等线" w:cs="等线"/>
          <w:sz w:val="28"/>
          <w:szCs w:val="28"/>
          <w:lang w:val="en-US" w:eastAsia="zh-CN"/>
        </w:rPr>
        <w:t xml:space="preserve"> </w:t>
      </w:r>
      <w:r>
        <w:rPr>
          <w:rFonts w:hint="eastAsia" w:ascii="等线" w:hAnsi="等线" w:eastAsia="等线" w:cs="等线"/>
          <w:sz w:val="28"/>
          <w:szCs w:val="28"/>
        </w:rPr>
        <w:t>少于8小时。工作期间不得兼职其他项目的管理工作。</w:t>
      </w:r>
    </w:p>
    <w:p>
      <w:pPr>
        <w:numPr>
          <w:ilvl w:val="2"/>
          <w:numId w:val="1"/>
        </w:numPr>
        <w:tabs>
          <w:tab w:val="clear" w:pos="420"/>
        </w:tabs>
        <w:spacing w:line="440" w:lineRule="exact"/>
        <w:rPr>
          <w:rFonts w:ascii="等线" w:hAnsi="等线" w:eastAsia="等线" w:cs="等线"/>
          <w:sz w:val="28"/>
          <w:szCs w:val="28"/>
        </w:rPr>
      </w:pPr>
      <w:r>
        <w:rPr>
          <w:rFonts w:hint="eastAsia" w:ascii="等线" w:hAnsi="等线" w:eastAsia="等线" w:cs="等线"/>
          <w:sz w:val="28"/>
          <w:szCs w:val="28"/>
        </w:rPr>
        <w:t>乙方</w:t>
      </w:r>
      <w:bookmarkStart w:id="7" w:name="_GoBack"/>
      <w:r>
        <w:rPr>
          <w:rFonts w:hint="eastAsia" w:ascii="等线" w:hAnsi="等线" w:eastAsia="等线" w:cs="等线"/>
          <w:sz w:val="28"/>
          <w:szCs w:val="28"/>
        </w:rPr>
        <w:t>每月出勤情况记录表由甲方代表签字确认</w:t>
      </w:r>
      <w:bookmarkEnd w:id="7"/>
      <w:r>
        <w:rPr>
          <w:rFonts w:hint="eastAsia" w:ascii="等线" w:hAnsi="等线" w:eastAsia="等线" w:cs="等线"/>
          <w:sz w:val="28"/>
          <w:szCs w:val="28"/>
        </w:rPr>
        <w:t>并作为依据，来计算支付乙方管理费用。</w:t>
      </w:r>
    </w:p>
    <w:p>
      <w:pPr>
        <w:numPr>
          <w:ilvl w:val="1"/>
          <w:numId w:val="1"/>
        </w:numPr>
        <w:spacing w:line="440" w:lineRule="exact"/>
        <w:rPr>
          <w:rFonts w:ascii="等线" w:hAnsi="等线" w:eastAsia="等线" w:cs="等线"/>
          <w:sz w:val="28"/>
          <w:szCs w:val="28"/>
        </w:rPr>
      </w:pPr>
      <w:r>
        <w:rPr>
          <w:rFonts w:hint="eastAsia" w:ascii="等线" w:hAnsi="等线" w:eastAsia="等线" w:cs="等线"/>
          <w:sz w:val="28"/>
          <w:szCs w:val="28"/>
        </w:rPr>
        <w:t>人员变更要求：</w:t>
      </w:r>
    </w:p>
    <w:p>
      <w:pPr>
        <w:numPr>
          <w:ilvl w:val="2"/>
          <w:numId w:val="1"/>
        </w:numPr>
        <w:tabs>
          <w:tab w:val="clear" w:pos="420"/>
        </w:tabs>
        <w:spacing w:line="440" w:lineRule="exact"/>
        <w:rPr>
          <w:rFonts w:ascii="等线" w:hAnsi="等线" w:eastAsia="等线" w:cs="等线"/>
          <w:sz w:val="28"/>
          <w:szCs w:val="28"/>
        </w:rPr>
      </w:pPr>
      <w:r>
        <w:rPr>
          <w:rFonts w:hint="eastAsia" w:ascii="等线" w:hAnsi="等线" w:eastAsia="等线" w:cs="等线"/>
          <w:sz w:val="28"/>
          <w:szCs w:val="28"/>
        </w:rPr>
        <w:t>乙方确需更换项目部人员的，替代人员持证情况、合同业绩、从业经历和履职能力应不低于</w:t>
      </w:r>
      <w:r>
        <w:rPr>
          <w:rFonts w:hint="eastAsia" w:ascii="等线" w:hAnsi="等线" w:eastAsia="等线" w:cs="等线"/>
          <w:sz w:val="28"/>
          <w:szCs w:val="28"/>
          <w:lang w:eastAsia="zh-CN"/>
        </w:rPr>
        <w:t>中选</w:t>
      </w:r>
      <w:r>
        <w:rPr>
          <w:rFonts w:hint="eastAsia" w:ascii="等线" w:hAnsi="等线" w:eastAsia="等线" w:cs="等线"/>
          <w:sz w:val="28"/>
          <w:szCs w:val="28"/>
        </w:rPr>
        <w:t>承诺人员。乙方应至少提前</w:t>
      </w:r>
      <w:r>
        <w:rPr>
          <w:rFonts w:ascii="等线" w:hAnsi="等线" w:eastAsia="等线" w:cs="等线"/>
          <w:sz w:val="28"/>
          <w:szCs w:val="28"/>
        </w:rPr>
        <w:t>2周</w:t>
      </w:r>
      <w:r>
        <w:rPr>
          <w:rFonts w:hint="eastAsia" w:ascii="等线" w:hAnsi="等线" w:eastAsia="等线" w:cs="等线"/>
          <w:sz w:val="28"/>
          <w:szCs w:val="28"/>
        </w:rPr>
        <w:t>向甲方提供变更人员相关证书及证明资料，并经甲方同意，方可进入施工现场。</w:t>
      </w:r>
    </w:p>
    <w:p>
      <w:pPr>
        <w:numPr>
          <w:ilvl w:val="2"/>
          <w:numId w:val="1"/>
        </w:numPr>
        <w:tabs>
          <w:tab w:val="clear" w:pos="420"/>
        </w:tabs>
        <w:spacing w:line="440" w:lineRule="exact"/>
        <w:rPr>
          <w:rFonts w:ascii="等线" w:hAnsi="等线" w:eastAsia="等线" w:cs="等线"/>
          <w:sz w:val="28"/>
          <w:szCs w:val="28"/>
        </w:rPr>
      </w:pPr>
      <w:r>
        <w:rPr>
          <w:rFonts w:hint="eastAsia" w:ascii="等线" w:hAnsi="等线" w:eastAsia="等线" w:cs="等线"/>
          <w:sz w:val="28"/>
          <w:szCs w:val="28"/>
        </w:rPr>
        <w:t>本工程服务周期内，在不增加额外工作时间的情况下，甲方有权依据工程进度合理调整乙方到厂服务时间。</w:t>
      </w:r>
    </w:p>
    <w:p>
      <w:pPr>
        <w:pStyle w:val="3"/>
        <w:numPr>
          <w:ilvl w:val="0"/>
          <w:numId w:val="1"/>
        </w:numPr>
        <w:spacing w:before="156" w:beforeLines="50" w:after="0" w:line="440" w:lineRule="exact"/>
        <w:rPr>
          <w:rFonts w:ascii="等线" w:hAnsi="等线" w:eastAsia="等线" w:cs="等线"/>
          <w:sz w:val="28"/>
          <w:szCs w:val="28"/>
        </w:rPr>
      </w:pPr>
      <w:bookmarkStart w:id="6" w:name="_Toc9872"/>
      <w:r>
        <w:rPr>
          <w:rFonts w:hint="eastAsia" w:ascii="等线" w:hAnsi="等线" w:eastAsia="等线" w:cs="等线"/>
          <w:sz w:val="28"/>
          <w:szCs w:val="28"/>
          <w:lang w:eastAsia="zh-CN"/>
        </w:rPr>
        <w:t>询比</w:t>
      </w:r>
      <w:r>
        <w:rPr>
          <w:rFonts w:hint="eastAsia" w:ascii="等线" w:hAnsi="等线" w:eastAsia="等线" w:cs="等线"/>
          <w:sz w:val="28"/>
          <w:szCs w:val="28"/>
        </w:rPr>
        <w:t>文件组成要求</w:t>
      </w:r>
      <w:bookmarkEnd w:id="6"/>
    </w:p>
    <w:p>
      <w:pPr>
        <w:numPr>
          <w:ilvl w:val="1"/>
          <w:numId w:val="1"/>
        </w:numPr>
        <w:spacing w:line="440" w:lineRule="exact"/>
        <w:rPr>
          <w:rFonts w:ascii="等线" w:hAnsi="等线" w:eastAsia="等线" w:cs="等线"/>
          <w:sz w:val="28"/>
          <w:szCs w:val="28"/>
        </w:rPr>
      </w:pPr>
      <w:r>
        <w:rPr>
          <w:rFonts w:hint="eastAsia" w:ascii="等线" w:hAnsi="等线" w:eastAsia="等线" w:cs="等线"/>
          <w:sz w:val="28"/>
          <w:szCs w:val="28"/>
        </w:rPr>
        <w:t>技术部分文件：</w:t>
      </w:r>
    </w:p>
    <w:p>
      <w:pPr>
        <w:spacing w:line="440" w:lineRule="exact"/>
        <w:ind w:left="402"/>
        <w:rPr>
          <w:rFonts w:ascii="等线" w:hAnsi="等线" w:eastAsia="等线" w:cs="等线"/>
          <w:sz w:val="28"/>
          <w:szCs w:val="28"/>
        </w:rPr>
      </w:pPr>
      <w:r>
        <w:rPr>
          <w:rFonts w:hint="eastAsia" w:ascii="等线" w:hAnsi="等线" w:eastAsia="等线" w:cs="等线"/>
          <w:sz w:val="28"/>
          <w:szCs w:val="28"/>
        </w:rPr>
        <w:t>技术标部分应包含如下内容：</w:t>
      </w:r>
    </w:p>
    <w:p>
      <w:pPr>
        <w:numPr>
          <w:ilvl w:val="2"/>
          <w:numId w:val="1"/>
        </w:numPr>
        <w:tabs>
          <w:tab w:val="clear" w:pos="420"/>
        </w:tabs>
        <w:spacing w:line="440" w:lineRule="exact"/>
        <w:rPr>
          <w:rFonts w:ascii="等线" w:hAnsi="等线" w:eastAsia="等线" w:cs="等线"/>
          <w:sz w:val="28"/>
          <w:szCs w:val="28"/>
        </w:rPr>
      </w:pPr>
      <w:r>
        <w:rPr>
          <w:rFonts w:hint="eastAsia" w:ascii="等线" w:hAnsi="等线" w:eastAsia="等线" w:cs="等线"/>
          <w:sz w:val="28"/>
          <w:szCs w:val="28"/>
        </w:rPr>
        <w:t>乙方简介，包括相关证件。</w:t>
      </w:r>
    </w:p>
    <w:p>
      <w:pPr>
        <w:numPr>
          <w:ilvl w:val="2"/>
          <w:numId w:val="1"/>
        </w:numPr>
        <w:tabs>
          <w:tab w:val="clear" w:pos="420"/>
        </w:tabs>
        <w:spacing w:line="440" w:lineRule="exact"/>
        <w:rPr>
          <w:rFonts w:ascii="等线" w:hAnsi="等线" w:eastAsia="等线" w:cs="等线"/>
          <w:sz w:val="28"/>
          <w:szCs w:val="28"/>
        </w:rPr>
      </w:pPr>
      <w:r>
        <w:rPr>
          <w:rFonts w:hint="eastAsia" w:ascii="等线" w:hAnsi="等线" w:eastAsia="等线" w:cs="等线"/>
          <w:sz w:val="28"/>
          <w:szCs w:val="28"/>
        </w:rPr>
        <w:t>最近三年的主要第三方安全技术服务业绩，包括业绩证明。</w:t>
      </w:r>
    </w:p>
    <w:p>
      <w:pPr>
        <w:numPr>
          <w:ilvl w:val="2"/>
          <w:numId w:val="1"/>
        </w:numPr>
        <w:tabs>
          <w:tab w:val="clear" w:pos="420"/>
        </w:tabs>
        <w:spacing w:line="440" w:lineRule="exact"/>
        <w:rPr>
          <w:rFonts w:ascii="等线" w:hAnsi="等线" w:eastAsia="等线" w:cs="等线"/>
          <w:sz w:val="28"/>
          <w:szCs w:val="28"/>
        </w:rPr>
      </w:pPr>
      <w:r>
        <w:rPr>
          <w:rFonts w:ascii="等线" w:hAnsi="等线" w:eastAsia="等线" w:cs="等线"/>
          <w:sz w:val="28"/>
          <w:szCs w:val="28"/>
        </w:rPr>
        <w:t>乙方需提供派遣人员</w:t>
      </w:r>
      <w:r>
        <w:rPr>
          <w:rFonts w:hint="eastAsia" w:ascii="等线" w:hAnsi="等线" w:eastAsia="等线" w:cs="等线"/>
          <w:sz w:val="28"/>
          <w:szCs w:val="28"/>
        </w:rPr>
        <w:t>6个月以上的社保缴交证明。</w:t>
      </w:r>
    </w:p>
    <w:p>
      <w:pPr>
        <w:pStyle w:val="2"/>
      </w:pPr>
    </w:p>
    <w:sectPr>
      <w:headerReference r:id="rId3" w:type="default"/>
      <w:footerReference r:id="rId4" w:type="default"/>
      <w:pgSz w:w="11906" w:h="16838"/>
      <w:pgMar w:top="1134" w:right="1417" w:bottom="1134"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EEF3E9C"/>
    <w:multiLevelType w:val="multilevel"/>
    <w:tmpl w:val="4EEF3E9C"/>
    <w:lvl w:ilvl="0" w:tentative="0">
      <w:start w:val="1"/>
      <w:numFmt w:val="chineseCounting"/>
      <w:suff w:val="space"/>
      <w:lvlText w:val="%1"/>
      <w:lvlJc w:val="left"/>
      <w:pPr>
        <w:ind w:left="0" w:firstLine="0"/>
      </w:pPr>
      <w:rPr>
        <w:rFonts w:hint="eastAsia"/>
      </w:rPr>
    </w:lvl>
    <w:lvl w:ilvl="1" w:tentative="0">
      <w:start w:val="1"/>
      <w:numFmt w:val="decimal"/>
      <w:suff w:val="nothing"/>
      <w:lvlText w:val="%2、"/>
      <w:lvlJc w:val="left"/>
      <w:pPr>
        <w:ind w:left="0" w:firstLine="400"/>
      </w:pPr>
      <w:rPr>
        <w:rFonts w:hint="default" w:ascii="宋体" w:hAnsi="宋体" w:eastAsia="宋体" w:cstheme="minorEastAsia"/>
        <w:color w:val="auto"/>
        <w:sz w:val="28"/>
        <w:szCs w:val="28"/>
      </w:rPr>
    </w:lvl>
    <w:lvl w:ilvl="2" w:tentative="0">
      <w:start w:val="1"/>
      <w:numFmt w:val="decimal"/>
      <w:suff w:val="nothing"/>
      <w:lvlText w:val="（%3）"/>
      <w:lvlJc w:val="left"/>
      <w:pPr>
        <w:tabs>
          <w:tab w:val="left" w:pos="420"/>
        </w:tabs>
        <w:ind w:left="0" w:firstLine="402"/>
      </w:pPr>
      <w:rPr>
        <w:rFonts w:hint="eastAsia"/>
      </w:rPr>
    </w:lvl>
    <w:lvl w:ilvl="3" w:tentative="0">
      <w:start w:val="1"/>
      <w:numFmt w:val="decimalEnclosedCircleChinese"/>
      <w:suff w:val="nothing"/>
      <w:lvlText w:val="%4 "/>
      <w:lvlJc w:val="left"/>
      <w:pPr>
        <w:ind w:left="0" w:firstLine="624"/>
      </w:pPr>
      <w:rPr>
        <w:rFonts w:hint="eastAsia" w:ascii="宋体" w:hAnsi="宋体" w:eastAsia="宋体" w:cs="宋体"/>
        <w:sz w:val="28"/>
        <w:szCs w:val="28"/>
      </w:rPr>
    </w:lvl>
    <w:lvl w:ilvl="4" w:tentative="0">
      <w:start w:val="1"/>
      <w:numFmt w:val="decimal"/>
      <w:suff w:val="nothing"/>
      <w:lvlText w:val="%5）"/>
      <w:lvlJc w:val="left"/>
      <w:pPr>
        <w:ind w:left="0" w:firstLine="402"/>
      </w:pPr>
      <w:rPr>
        <w:rFonts w:hint="eastAsia"/>
      </w:rPr>
    </w:lvl>
    <w:lvl w:ilvl="5" w:tentative="0">
      <w:start w:val="1"/>
      <w:numFmt w:val="lowerLetter"/>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Roman"/>
      <w:suff w:val="nothing"/>
      <w:lvlText w:val="%8. "/>
      <w:lvlJc w:val="left"/>
      <w:pPr>
        <w:ind w:left="0" w:firstLine="402"/>
      </w:pPr>
      <w:rPr>
        <w:rFonts w:hint="eastAsia"/>
      </w:rPr>
    </w:lvl>
    <w:lvl w:ilvl="8" w:tentative="0">
      <w:start w:val="1"/>
      <w:numFmt w:val="lowerRoman"/>
      <w:suff w:val="nothing"/>
      <w:lvlText w:val="%9）"/>
      <w:lvlJc w:val="left"/>
      <w:pPr>
        <w:ind w:left="0" w:firstLine="402"/>
      </w:pPr>
      <w:rPr>
        <w:rFonts w:hint="eastAsia"/>
      </w:rPr>
    </w:lvl>
  </w:abstractNum>
  <w:num w:numId="1">
    <w:abstractNumId w:val="0"/>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